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98264E" w14:textId="77777777" w:rsidR="00EF05CD" w:rsidRDefault="003F655E" w:rsidP="003F655E">
      <w:pPr>
        <w:pStyle w:val="Corpsdetexte"/>
        <w:spacing w:before="82"/>
        <w:ind w:left="3132" w:right="-343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2334BC7" wp14:editId="44EEF2C6">
            <wp:simplePos x="0" y="0"/>
            <wp:positionH relativeFrom="page">
              <wp:posOffset>1178957</wp:posOffset>
            </wp:positionH>
            <wp:positionV relativeFrom="paragraph">
              <wp:posOffset>459205</wp:posOffset>
            </wp:positionV>
            <wp:extent cx="64935" cy="75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E47BD6">
          <v:shape id="_x0000_s1034" style="position:absolute;left:0;text-align:left;margin-left:107.15pt;margin-top:36.35pt;width:4pt;height:5.8pt;z-index:251659264;mso-position-horizontal-relative:page;mso-position-vertical-relative:text" coordorigin="2143,727" coordsize="80,116" o:spt="100" adj="0,,0" path="m2186,727l2143,727,2143,843,2153,843,2153,795,2190,795,2189,794,2202,792,2211,786,2153,786,2153,736,2211,736,2200,730,2186,727xm2190,795l2179,795,2211,843,2223,843,2190,795xm2211,736l2201,736,2211,747,2211,776,2201,786,2211,786,2212,785,2219,775,2221,761,2219,747,2211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16F756A" wp14:editId="0BF857F3">
            <wp:simplePos x="0" y="0"/>
            <wp:positionH relativeFrom="page">
              <wp:posOffset>1516255</wp:posOffset>
            </wp:positionH>
            <wp:positionV relativeFrom="paragraph">
              <wp:posOffset>459311</wp:posOffset>
            </wp:positionV>
            <wp:extent cx="71196" cy="758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52C318">
          <v:shape id="_x0000_s1033" style="position:absolute;left:0;text-align:left;margin-left:133.95pt;margin-top:36.25pt;width:4.5pt;height:5.9pt;z-index:251661312;mso-position-horizontal-relative:page;mso-position-vertical-relative:text" coordorigin="2680,725" coordsize="90,118" o:spt="100" adj="0,,0" path="m2690,725l2680,725,2680,796,2683,816,2691,830,2705,839,2725,843,2745,839,2753,834,2725,834,2710,831,2699,824,2692,812,2690,796,2690,725xm2770,725l2760,725,2760,796,2758,812,2751,824,2740,831,2725,834,2753,834,2759,830,2767,816,2770,796,2770,7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F1343F0">
          <v:shape id="_x0000_s1032" style="position:absolute;left:0;text-align:left;margin-left:147.05pt;margin-top:36.35pt;width:3.95pt;height:5.8pt;z-index:251662336;mso-position-horizontal-relative:page;mso-position-vertical-relative:text" coordorigin="2941,727" coordsize="79,116" o:spt="100" adj="0,,0" path="m2985,727l2941,727,2941,843,2951,843,2951,795,2985,795,2999,792,3009,786,2951,786,2951,736,3009,736,3000,730,2985,727xm3009,736l2999,736,3009,747,3009,775,2999,786,3009,786,3010,785,3017,774,3020,761,3017,748,3010,737,3009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1222E52">
          <v:shape id="_x0000_s1031" style="position:absolute;left:0;text-align:left;margin-left:158.95pt;margin-top:36.35pt;width:3.7pt;height:5.8pt;z-index:251663360;mso-position-horizontal-relative:page;mso-position-vertical-relative:text" coordorigin="3180,727" coordsize="74,116" path="m3253,727l3180,727,3180,843,3253,843,3253,834,3190,834,3190,788,3252,788,3252,779,3190,779,3190,736,3253,736,3253,727xe" fillcolor="black" stroked="f">
            <v:path arrowok="t"/>
            <w10:wrap anchorx="page"/>
          </v:shape>
        </w:pict>
      </w:r>
      <w:r>
        <w:pict w14:anchorId="2757DB6E">
          <v:shape id="_x0000_s1030" style="position:absolute;left:0;text-align:left;margin-left:89.75pt;margin-top:7.45pt;width:75.35pt;height:23.85pt;z-index:251664384;mso-position-horizontal-relative:page;mso-position-vertical-relative:text" coordorigin="1796,149" coordsize="1507,477" o:spt="100" adj="0,,0" path="m2244,489l2240,474,2232,461,2219,452,2204,449,2193,451,2183,455,2175,461,2169,469,2169,469,2169,469,2144,500,2112,524,2075,540,2034,545,2003,542,1973,533,1946,519,1922,499,1902,475,1888,448,1879,418,1876,387,1888,326,1922,275,1973,241,2034,229,2075,234,2111,249,2143,273,2168,303,2174,312,2182,318,2192,323,2203,324,2219,321,2231,312,2240,300,2243,284,2243,277,2241,270,2238,264,2238,264,2237,263,2236,261,2235,260,2210,229,2198,215,2150,180,2095,157,2034,149,1959,161,1893,195,1842,247,1808,312,1796,387,1801,434,1814,478,1836,519,1866,555,1902,585,1943,607,1987,621,2034,625,2097,617,2153,593,2201,557,2210,545,2238,509,2238,509,2242,503,2244,497,2244,489m2764,377l2764,377,2750,305,2715,242,2701,229,2684,213,2684,387,2672,449,2638,499,2588,533,2526,545,2495,542,2466,533,2439,519,2414,499,2395,475,2380,448,2371,418,2368,387,2381,326,2415,275,2465,241,2526,229,2588,241,2638,275,2672,326,2684,387,2684,213,2664,193,2600,161,2526,149,2451,161,2386,195,2334,247,2300,312,2288,387,2293,434,2306,478,2328,519,2358,555,2394,585,2435,607,2479,621,2526,625,2571,621,2612,609,2650,590,2684,565,2684,587,2688,602,2697,614,2709,622,2724,625,2740,622,2753,613,2761,601,2764,586,2764,565,2764,545,2764,377m3302,387l3302,377,3302,367,3300,357,3299,347,3277,281,3241,229,3238,225,3217,208,3217,347,2911,347,2932,300,2967,263,3012,238,3064,229,3117,238,3162,263,3196,300,3217,347,3217,208,3185,182,3121,156,3049,149,2981,164,2922,197,2874,244,2841,304,2827,372,2830,430,2847,485,2878,535,2920,576,2944,593,2969,606,2997,616,3025,622,3085,624,3141,612,3192,588,3235,553,3237,551,3242,545,3243,543,3247,534,3247,510,3240,498,3223,486,3216,484,3199,484,3191,486,3185,491,3183,491,3182,492,3180,495,3179,496,3177,497,3176,498,3153,518,3126,533,3096,542,3064,545,3033,542,3004,533,2977,519,2953,499,2939,483,2927,465,2918,447,2911,427,3262,427,3278,424,3290,416,3299,403,3302,387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089C40E">
          <v:group id="_x0000_s1026" style="position:absolute;left:0;text-align:left;margin-left:42.5pt;margin-top:6.1pt;width:38pt;height:38.65pt;z-index:251665408;mso-position-horizontal-relative:page;mso-position-vertical-relative:text" coordorigin="851,122" coordsize="760,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0;top:214;width:367;height:224">
              <v:imagedata r:id="rId8" o:title=""/>
            </v:shape>
            <v:shape id="_x0000_s1028" type="#_x0000_t75" style="position:absolute;left:852;top:584;width:365;height:220">
              <v:imagedata r:id="rId9" o:title=""/>
            </v:shape>
            <v:shape id="_x0000_s1027" style="position:absolute;left:1147;top:122;width:463;height:773" coordorigin="1148,122" coordsize="463,773" path="m1224,122l1156,132,1148,157,1155,170,1445,461,1449,464,1466,507,1466,516,1448,560,1447,560,1446,561,1445,563,1158,848,1151,860,1152,874,1211,895,1224,895,1302,887,1374,864,1440,829,1497,782,1544,724,1580,659,1602,586,1610,510,1610,507,1602,431,1580,358,1544,292,1497,235,1440,188,1374,152,1302,130,1224,122xe" fillcolor="black" stroked="f">
              <v:path arrowok="t"/>
            </v:shape>
            <w10:wrap anchorx="page"/>
          </v:group>
        </w:pict>
      </w:r>
      <w:r>
        <w:t>Air Park de Paris - 3 Avenue Jeanne Garnerin Bâtiment le Cormoran -</w:t>
      </w:r>
      <w:r>
        <w:br/>
      </w:r>
      <w:bookmarkStart w:id="0" w:name="_GoBack"/>
      <w:bookmarkEnd w:id="0"/>
      <w:r>
        <w:t xml:space="preserve">91320 Wissous, France </w:t>
      </w:r>
      <w:r>
        <w:rPr>
          <w:rFonts w:ascii="Roboto-Black" w:hAnsi="Roboto-Black"/>
          <w:b/>
          <w:color w:val="C1D119"/>
        </w:rPr>
        <w:t xml:space="preserve">Tel </w:t>
      </w:r>
      <w:r>
        <w:t xml:space="preserve">01 69 79 14 </w:t>
      </w:r>
      <w:proofErr w:type="spellStart"/>
      <w:r>
        <w:t>14</w:t>
      </w:r>
      <w:proofErr w:type="spellEnd"/>
      <w:r>
        <w:t xml:space="preserve"> / </w:t>
      </w:r>
      <w:r>
        <w:rPr>
          <w:rFonts w:ascii="Roboto-Black" w:hAnsi="Roboto-Black"/>
          <w:b/>
          <w:color w:val="C1D119"/>
        </w:rPr>
        <w:t xml:space="preserve">Email </w:t>
      </w:r>
      <w:hyperlink r:id="rId10">
        <w:r>
          <w:t>contact@cae-groupe.fr</w:t>
        </w:r>
      </w:hyperlink>
    </w:p>
    <w:p w14:paraId="1D0248E4" w14:textId="77777777" w:rsidR="00EF05CD" w:rsidRDefault="00EF05CD">
      <w:pPr>
        <w:pStyle w:val="Corpsdetexte"/>
        <w:spacing w:before="3"/>
        <w:rPr>
          <w:sz w:val="14"/>
        </w:rPr>
      </w:pPr>
    </w:p>
    <w:p w14:paraId="7BB32266" w14:textId="77777777" w:rsidR="00EF05CD" w:rsidRDefault="003F655E">
      <w:pPr>
        <w:pStyle w:val="Heading1"/>
        <w:spacing w:before="96"/>
        <w:ind w:left="3132"/>
      </w:pPr>
      <w:r>
        <w:rPr>
          <w:color w:val="FFFFFF"/>
          <w:shd w:val="clear" w:color="auto" w:fill="C1D119"/>
        </w:rPr>
        <w:t xml:space="preserve">    </w:t>
      </w:r>
      <w:hyperlink r:id="rId11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223B9F83" w14:textId="77777777" w:rsidR="00EF05CD" w:rsidRDefault="00EF05CD">
      <w:pPr>
        <w:pStyle w:val="Corpsdetexte"/>
        <w:rPr>
          <w:rFonts w:ascii="Roboto-Black"/>
          <w:b/>
          <w:sz w:val="22"/>
        </w:rPr>
      </w:pPr>
    </w:p>
    <w:p w14:paraId="64633330" w14:textId="77777777" w:rsidR="00EF05CD" w:rsidRDefault="003F655E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FFFFFF"/>
        </w:rPr>
        <w:tab/>
      </w:r>
      <w:r w:rsidRPr="003F655E">
        <w:rPr>
          <w:rFonts w:ascii="Roboto-Black" w:hAnsi="Roboto-Black"/>
          <w:b/>
          <w:color w:val="C1D119"/>
          <w:spacing w:val="16"/>
          <w:sz w:val="40"/>
          <w:szCs w:val="40"/>
          <w:shd w:val="clear" w:color="auto" w:fill="FFFFFF"/>
        </w:rPr>
        <w:t xml:space="preserve">COMMUNIQUÉ </w:t>
      </w:r>
      <w:r w:rsidRPr="003F655E">
        <w:rPr>
          <w:rFonts w:ascii="Roboto-Black" w:hAnsi="Roboto-Black"/>
          <w:b/>
          <w:color w:val="C1D119"/>
          <w:spacing w:val="9"/>
          <w:sz w:val="40"/>
          <w:szCs w:val="40"/>
          <w:shd w:val="clear" w:color="auto" w:fill="FFFFFF"/>
        </w:rPr>
        <w:t>DE</w:t>
      </w:r>
      <w:r w:rsidRPr="003F655E">
        <w:rPr>
          <w:rFonts w:ascii="Roboto-Black" w:hAnsi="Roboto-Black"/>
          <w:b/>
          <w:color w:val="C1D119"/>
          <w:spacing w:val="20"/>
          <w:sz w:val="40"/>
          <w:szCs w:val="40"/>
          <w:shd w:val="clear" w:color="auto" w:fill="FFFFFF"/>
        </w:rPr>
        <w:t xml:space="preserve"> </w:t>
      </w:r>
      <w:r w:rsidRPr="003F655E">
        <w:rPr>
          <w:rFonts w:ascii="Roboto-Black" w:hAnsi="Roboto-Black"/>
          <w:b/>
          <w:color w:val="C1D119"/>
          <w:spacing w:val="18"/>
          <w:sz w:val="40"/>
          <w:szCs w:val="40"/>
          <w:shd w:val="clear" w:color="auto" w:fill="FFFFFF"/>
        </w:rPr>
        <w:t>PRESSE</w:t>
      </w:r>
    </w:p>
    <w:p w14:paraId="4CAFA708" w14:textId="77777777" w:rsidR="00EF05CD" w:rsidRDefault="003F655E">
      <w:pPr>
        <w:pStyle w:val="Corpsdetexte"/>
        <w:spacing w:line="203" w:lineRule="exact"/>
        <w:ind w:left="1186"/>
      </w:pPr>
      <w:r>
        <w:t>Alexandra Léon</w:t>
      </w:r>
    </w:p>
    <w:p w14:paraId="09A7BBA5" w14:textId="77777777" w:rsidR="00EF05CD" w:rsidRDefault="00EF05CD">
      <w:pPr>
        <w:spacing w:line="203" w:lineRule="exact"/>
        <w:sectPr w:rsidR="00EF05CD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02D66556" w14:textId="77777777" w:rsidR="00EF05CD" w:rsidRDefault="003F655E">
      <w:pPr>
        <w:pStyle w:val="Corpsdetexte"/>
        <w:jc w:val="right"/>
      </w:pPr>
      <w:r>
        <w:lastRenderedPageBreak/>
        <w:t>06 60 93 29 37</w:t>
      </w:r>
    </w:p>
    <w:p w14:paraId="75FA5726" w14:textId="77777777" w:rsidR="00EF05CD" w:rsidRDefault="003F655E">
      <w:pPr>
        <w:pStyle w:val="Corpsdetexte"/>
        <w:jc w:val="right"/>
      </w:pPr>
      <w:hyperlink r:id="rId12">
        <w:r>
          <w:rPr>
            <w:spacing w:val="-1"/>
          </w:rPr>
          <w:t>a.leon@avvia.eu</w:t>
        </w:r>
      </w:hyperlink>
    </w:p>
    <w:p w14:paraId="1FEE54E1" w14:textId="77777777" w:rsidR="00EF05CD" w:rsidRDefault="003F655E" w:rsidP="003F655E">
      <w:pPr>
        <w:pStyle w:val="Corpsdetexte"/>
        <w:spacing w:before="74"/>
        <w:ind w:left="993"/>
      </w:pPr>
      <w:r>
        <w:br w:type="column"/>
      </w:r>
      <w:r>
        <w:lastRenderedPageBreak/>
        <w:t>Septembre 2019</w:t>
      </w:r>
    </w:p>
    <w:p w14:paraId="153B00E6" w14:textId="77777777" w:rsidR="00EF05CD" w:rsidRDefault="00EF05CD">
      <w:pPr>
        <w:sectPr w:rsidR="00EF05CD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139E4422" w14:textId="77777777" w:rsidR="00EF05CD" w:rsidRDefault="00EF05CD">
      <w:pPr>
        <w:pStyle w:val="Corpsdetexte"/>
      </w:pPr>
    </w:p>
    <w:p w14:paraId="39A89841" w14:textId="77777777" w:rsidR="00EF05CD" w:rsidRDefault="00EF05CD">
      <w:pPr>
        <w:pStyle w:val="Corpsdetexte"/>
      </w:pPr>
    </w:p>
    <w:p w14:paraId="13E5CF88" w14:textId="77777777" w:rsidR="00EF05CD" w:rsidRDefault="00EF05CD">
      <w:pPr>
        <w:pStyle w:val="Corpsdetexte"/>
        <w:spacing w:before="8"/>
        <w:rPr>
          <w:sz w:val="15"/>
        </w:rPr>
      </w:pPr>
    </w:p>
    <w:p w14:paraId="725746AE" w14:textId="77777777" w:rsidR="00EF05CD" w:rsidRDefault="003F655E">
      <w:pPr>
        <w:spacing w:before="92"/>
        <w:ind w:left="110" w:right="99"/>
        <w:jc w:val="both"/>
        <w:rPr>
          <w:rFonts w:ascii="Roboto-Black"/>
          <w:b/>
          <w:sz w:val="36"/>
        </w:rPr>
      </w:pPr>
      <w:r>
        <w:rPr>
          <w:rFonts w:ascii="Roboto-Black"/>
          <w:b/>
          <w:sz w:val="36"/>
        </w:rPr>
        <w:t>CAE GROUPE annonce la distribution en France des produits actifs de la marque allemande LEVEL ONE</w:t>
      </w:r>
    </w:p>
    <w:p w14:paraId="193F7CD8" w14:textId="77777777" w:rsidR="00EF05CD" w:rsidRDefault="00EF05CD">
      <w:pPr>
        <w:pStyle w:val="Corpsdetexte"/>
        <w:spacing w:before="1"/>
        <w:rPr>
          <w:rFonts w:ascii="Roboto-Black"/>
          <w:b/>
          <w:sz w:val="37"/>
        </w:rPr>
      </w:pPr>
    </w:p>
    <w:p w14:paraId="33A53938" w14:textId="77777777" w:rsidR="00EF05CD" w:rsidRDefault="003F655E">
      <w:pPr>
        <w:ind w:left="110" w:right="99"/>
        <w:jc w:val="both"/>
        <w:rPr>
          <w:rFonts w:ascii="Roboto-Black" w:hAnsi="Roboto-Black"/>
          <w:b/>
        </w:rPr>
      </w:pPr>
      <w:r>
        <w:rPr>
          <w:rFonts w:ascii="Roboto-Black" w:hAnsi="Roboto-Black"/>
          <w:b/>
        </w:rPr>
        <w:t>Concepteur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et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fabricant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de</w:t>
      </w:r>
      <w:r>
        <w:rPr>
          <w:rFonts w:ascii="Roboto-Black" w:hAnsi="Roboto-Black"/>
          <w:b/>
          <w:spacing w:val="-14"/>
        </w:rPr>
        <w:t xml:space="preserve"> </w:t>
      </w:r>
      <w:r>
        <w:rPr>
          <w:rFonts w:ascii="Roboto-Black" w:hAnsi="Roboto-Black"/>
          <w:b/>
        </w:rPr>
        <w:t>solutions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de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câblage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et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de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communication,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CAE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GROUPE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développe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son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offre par la commercialisation de solutions complètes de produits actifs, à travers un contrat de distribution des produits LEVEL ONE. Grâce à cette large gamme de produits, CAE GROUPE propose une solution réseau idéale pour les utilisateurs à la recherche</w:t>
      </w:r>
      <w:r>
        <w:rPr>
          <w:rFonts w:ascii="Roboto-Black" w:hAnsi="Roboto-Black"/>
          <w:b/>
        </w:rPr>
        <w:t xml:space="preserve"> d’un moyen abordable et efficace pour étendre leur réseau.</w:t>
      </w:r>
    </w:p>
    <w:p w14:paraId="6490EF82" w14:textId="77777777" w:rsidR="00EF05CD" w:rsidRDefault="00EF05CD">
      <w:pPr>
        <w:pStyle w:val="Corpsdetexte"/>
        <w:spacing w:before="7"/>
        <w:rPr>
          <w:rFonts w:ascii="Roboto-Black"/>
          <w:b/>
          <w:sz w:val="19"/>
        </w:rPr>
      </w:pPr>
    </w:p>
    <w:p w14:paraId="27414A16" w14:textId="77777777" w:rsidR="00EF05CD" w:rsidRDefault="003F655E">
      <w:pPr>
        <w:pStyle w:val="Corpsdetexte"/>
        <w:ind w:left="110" w:right="107"/>
        <w:jc w:val="both"/>
      </w:pPr>
      <w:r>
        <w:t xml:space="preserve">Créé en 1991, </w:t>
      </w:r>
      <w:proofErr w:type="spellStart"/>
      <w:r>
        <w:t>LevelOne</w:t>
      </w:r>
      <w:proofErr w:type="spellEnd"/>
      <w:r>
        <w:t>, fabricant allemand, dispose d’une expertise reconnue dans la fabrication de produits actifs et réseaux IP. Ce partenariat permet à CAE GROUPE de compléter ses solutions de câblage structuré avec une gamme complète de produits actifs</w:t>
      </w:r>
      <w:r>
        <w:t>.</w:t>
      </w:r>
    </w:p>
    <w:p w14:paraId="0EC3EB23" w14:textId="77777777" w:rsidR="00EF05CD" w:rsidRDefault="00EF05CD">
      <w:pPr>
        <w:pStyle w:val="Corpsdetexte"/>
      </w:pPr>
    </w:p>
    <w:p w14:paraId="0D205996" w14:textId="77777777" w:rsidR="00EF05CD" w:rsidRDefault="003F655E">
      <w:pPr>
        <w:pStyle w:val="Heading1"/>
      </w:pPr>
      <w:r>
        <w:t>SWITCHS</w:t>
      </w:r>
    </w:p>
    <w:p w14:paraId="2D1987FD" w14:textId="77777777" w:rsidR="00EF05CD" w:rsidRDefault="003F655E">
      <w:pPr>
        <w:pStyle w:val="Corpsdetexte"/>
        <w:ind w:left="110" w:right="106"/>
        <w:jc w:val="both"/>
      </w:pPr>
      <w:r>
        <w:t>Large</w:t>
      </w:r>
      <w:r>
        <w:rPr>
          <w:spacing w:val="-9"/>
        </w:rPr>
        <w:t xml:space="preserve"> </w:t>
      </w:r>
      <w:r>
        <w:t>gamme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switchs</w:t>
      </w:r>
      <w:proofErr w:type="spellEnd"/>
      <w:r>
        <w:rPr>
          <w:spacing w:val="-9"/>
        </w:rPr>
        <w:t xml:space="preserve"> </w:t>
      </w:r>
      <w:r>
        <w:t>allant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52</w:t>
      </w:r>
      <w:r>
        <w:rPr>
          <w:spacing w:val="-8"/>
        </w:rPr>
        <w:t xml:space="preserve"> </w:t>
      </w:r>
      <w:r>
        <w:t>ports,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pouvant</w:t>
      </w:r>
      <w:r>
        <w:rPr>
          <w:spacing w:val="-8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dotés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fonction</w:t>
      </w:r>
      <w:r>
        <w:rPr>
          <w:spacing w:val="-9"/>
        </w:rPr>
        <w:t xml:space="preserve"> </w:t>
      </w:r>
      <w:proofErr w:type="spellStart"/>
      <w:r>
        <w:t>PoE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PoE</w:t>
      </w:r>
      <w:proofErr w:type="spellEnd"/>
      <w:r>
        <w:t>+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4pPoE.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proofErr w:type="spellStart"/>
      <w:r>
        <w:t>switchs</w:t>
      </w:r>
      <w:proofErr w:type="spellEnd"/>
      <w:r>
        <w:t xml:space="preserve"> bénéficient d’une rapidité dans les envois et transferts de data, du 10Mbps au Gigabit Ethernet. Les produits de la gamme sont </w:t>
      </w:r>
      <w:proofErr w:type="spellStart"/>
      <w:r>
        <w:t>ra</w:t>
      </w:r>
      <w:r>
        <w:t>ckables</w:t>
      </w:r>
      <w:proofErr w:type="spellEnd"/>
      <w:r>
        <w:t xml:space="preserve"> en format </w:t>
      </w:r>
      <w:r>
        <w:rPr>
          <w:spacing w:val="-3"/>
        </w:rPr>
        <w:t xml:space="preserve">19’’ </w:t>
      </w:r>
      <w:r>
        <w:t>pour une intégration aisée dans les baies de</w:t>
      </w:r>
      <w:r>
        <w:rPr>
          <w:spacing w:val="-7"/>
        </w:rPr>
        <w:t xml:space="preserve"> </w:t>
      </w:r>
      <w:r>
        <w:t>brassage.</w:t>
      </w:r>
    </w:p>
    <w:p w14:paraId="4782CD1A" w14:textId="77777777" w:rsidR="00EF05CD" w:rsidRDefault="00EF05CD">
      <w:pPr>
        <w:pStyle w:val="Corpsdetexte"/>
        <w:spacing w:before="11"/>
        <w:rPr>
          <w:sz w:val="19"/>
        </w:rPr>
      </w:pPr>
    </w:p>
    <w:p w14:paraId="00033045" w14:textId="77777777" w:rsidR="00EF05CD" w:rsidRDefault="003F655E">
      <w:pPr>
        <w:pStyle w:val="Heading1"/>
        <w:spacing w:before="1"/>
      </w:pPr>
      <w:r>
        <w:t>INJECTEURS POE</w:t>
      </w:r>
    </w:p>
    <w:p w14:paraId="155F8808" w14:textId="77777777" w:rsidR="00EF05CD" w:rsidRDefault="003F655E">
      <w:pPr>
        <w:pStyle w:val="Corpsdetexte"/>
        <w:ind w:left="110" w:right="106"/>
        <w:jc w:val="both"/>
      </w:pPr>
      <w:r>
        <w:t>La gamme présente des injecteurs POE offrant un nombre de ports RJ45 variable entre 1 et 20, ainsi qu’un design compact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rPr>
          <w:spacing w:val="-3"/>
        </w:rPr>
        <w:t>19’’</w:t>
      </w:r>
      <w:r>
        <w:rPr>
          <w:spacing w:val="-13"/>
        </w:rPr>
        <w:t xml:space="preserve"> </w:t>
      </w:r>
      <w:proofErr w:type="spellStart"/>
      <w:r>
        <w:t>montable</w:t>
      </w:r>
      <w:proofErr w:type="spellEnd"/>
      <w:r>
        <w:rPr>
          <w:spacing w:val="-13"/>
        </w:rPr>
        <w:t xml:space="preserve"> </w:t>
      </w:r>
      <w:r>
        <w:t>sur</w:t>
      </w:r>
      <w:r>
        <w:rPr>
          <w:spacing w:val="-12"/>
        </w:rPr>
        <w:t xml:space="preserve"> </w:t>
      </w:r>
      <w:proofErr w:type="spellStart"/>
      <w:r>
        <w:t>bati</w:t>
      </w:r>
      <w:proofErr w:type="spellEnd"/>
      <w:r>
        <w:rPr>
          <w:spacing w:val="-12"/>
        </w:rPr>
        <w:t xml:space="preserve"> </w:t>
      </w:r>
      <w:r>
        <w:t>1U</w:t>
      </w:r>
      <w:r>
        <w:rPr>
          <w:spacing w:val="-13"/>
        </w:rPr>
        <w:t xml:space="preserve"> </w:t>
      </w:r>
      <w:r>
        <w:t>permettant</w:t>
      </w:r>
      <w:r>
        <w:rPr>
          <w:spacing w:val="-13"/>
        </w:rPr>
        <w:t xml:space="preserve"> </w:t>
      </w:r>
      <w:r>
        <w:t>d’installer</w:t>
      </w:r>
      <w:r>
        <w:rPr>
          <w:spacing w:val="-13"/>
        </w:rPr>
        <w:t xml:space="preserve"> </w:t>
      </w:r>
      <w:r>
        <w:t>facilement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commutateur</w:t>
      </w:r>
      <w:r>
        <w:rPr>
          <w:spacing w:val="-13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espace</w:t>
      </w:r>
      <w:r>
        <w:rPr>
          <w:spacing w:val="-13"/>
        </w:rPr>
        <w:t xml:space="preserve"> </w:t>
      </w:r>
      <w:r>
        <w:t>serveur</w:t>
      </w:r>
      <w:r>
        <w:rPr>
          <w:spacing w:val="-12"/>
        </w:rPr>
        <w:t xml:space="preserve"> </w:t>
      </w:r>
      <w:r>
        <w:t>pour la</w:t>
      </w:r>
      <w:r>
        <w:rPr>
          <w:spacing w:val="-5"/>
        </w:rPr>
        <w:t xml:space="preserve"> </w:t>
      </w:r>
      <w:r>
        <w:t>centralisation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courant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l’intégration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réseau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différentes</w:t>
      </w:r>
      <w:r>
        <w:rPr>
          <w:spacing w:val="-4"/>
        </w:rPr>
        <w:t xml:space="preserve"> </w:t>
      </w:r>
      <w:r>
        <w:t>applications.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puissance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 xml:space="preserve">comprise entre 15W et </w:t>
      </w:r>
      <w:r>
        <w:rPr>
          <w:spacing w:val="-3"/>
        </w:rPr>
        <w:t>375W.</w:t>
      </w:r>
    </w:p>
    <w:p w14:paraId="0CF260E5" w14:textId="77777777" w:rsidR="00EF05CD" w:rsidRDefault="00EF05CD">
      <w:pPr>
        <w:pStyle w:val="Corpsdetexte"/>
        <w:spacing w:before="11"/>
        <w:rPr>
          <w:sz w:val="19"/>
        </w:rPr>
      </w:pPr>
    </w:p>
    <w:p w14:paraId="497BE527" w14:textId="77777777" w:rsidR="00EF05CD" w:rsidRDefault="003F655E">
      <w:pPr>
        <w:pStyle w:val="Heading1"/>
        <w:jc w:val="both"/>
        <w:rPr>
          <w:rFonts w:ascii="Roboto" w:hAnsi="Roboto"/>
        </w:rPr>
      </w:pPr>
      <w:r>
        <w:rPr>
          <w:rFonts w:ascii="Roboto" w:hAnsi="Roboto"/>
        </w:rPr>
        <w:t>RÉPÉTEURS POE</w:t>
      </w:r>
    </w:p>
    <w:p w14:paraId="3112F4F4" w14:textId="77777777" w:rsidR="00EF05CD" w:rsidRDefault="003F655E">
      <w:pPr>
        <w:pStyle w:val="Corpsdetexte"/>
        <w:ind w:left="110" w:right="107"/>
        <w:jc w:val="both"/>
      </w:pPr>
      <w:r>
        <w:t>Accessoire</w:t>
      </w:r>
      <w:r>
        <w:rPr>
          <w:spacing w:val="-10"/>
        </w:rPr>
        <w:t xml:space="preserve"> </w:t>
      </w:r>
      <w:r>
        <w:t>idéal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augmenter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</w:t>
      </w:r>
      <w:r>
        <w:t>erformances</w:t>
      </w:r>
      <w:r>
        <w:rPr>
          <w:spacing w:val="-9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réseau</w:t>
      </w:r>
      <w:r>
        <w:rPr>
          <w:spacing w:val="-9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over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Etherner</w:t>
      </w:r>
      <w:proofErr w:type="spellEnd"/>
      <w:r>
        <w:rPr>
          <w:spacing w:val="-3"/>
        </w:rPr>
        <w:t>,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répéteur</w:t>
      </w:r>
      <w:r>
        <w:rPr>
          <w:spacing w:val="-9"/>
        </w:rPr>
        <w:t xml:space="preserve"> </w:t>
      </w:r>
      <w:r>
        <w:t>permet</w:t>
      </w:r>
      <w:r>
        <w:rPr>
          <w:spacing w:val="-10"/>
        </w:rPr>
        <w:t xml:space="preserve"> </w:t>
      </w:r>
      <w:r>
        <w:t xml:space="preserve">d’augmenter les performances jusqu’à 200 mètres, contre les 100 mètres habituellement admis par les câbles normaux. Ces répéteurs n’utilisent pas l’alimentation extérieure et constituent </w:t>
      </w:r>
      <w:r>
        <w:rPr>
          <w:spacing w:val="-3"/>
        </w:rPr>
        <w:t xml:space="preserve">l’option </w:t>
      </w:r>
      <w:r>
        <w:t>la plus flexible pour augmenter la distance des périphériques</w:t>
      </w:r>
      <w:r>
        <w:rPr>
          <w:spacing w:val="-1"/>
        </w:rPr>
        <w:t xml:space="preserve"> </w:t>
      </w:r>
      <w:r>
        <w:t>connectés.</w:t>
      </w:r>
    </w:p>
    <w:p w14:paraId="3F4C0676" w14:textId="77777777" w:rsidR="00EF05CD" w:rsidRDefault="00EF05CD">
      <w:pPr>
        <w:pStyle w:val="Corpsdetexte"/>
        <w:rPr>
          <w:sz w:val="22"/>
        </w:rPr>
      </w:pPr>
    </w:p>
    <w:p w14:paraId="62A0C431" w14:textId="77777777" w:rsidR="00EF05CD" w:rsidRDefault="003F655E">
      <w:pPr>
        <w:spacing w:before="187"/>
        <w:ind w:left="110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3">
        <w:r>
          <w:rPr>
            <w:rFonts w:ascii="Roboto-Black" w:hAnsi="Roboto-Black"/>
            <w:b/>
            <w:color w:val="575756"/>
            <w:sz w:val="18"/>
          </w:rPr>
          <w:t xml:space="preserve"> www.cae-groupe.fr </w:t>
        </w:r>
      </w:hyperlink>
      <w:r>
        <w:rPr>
          <w:rFonts w:ascii="Roboto-Black" w:hAnsi="Roboto-Black"/>
          <w:b/>
          <w:color w:val="575756"/>
          <w:sz w:val="18"/>
        </w:rPr>
        <w:t>- Espace Presse – Communiqués de presse</w:t>
      </w:r>
    </w:p>
    <w:p w14:paraId="4C937826" w14:textId="77777777" w:rsidR="00EF05CD" w:rsidRDefault="003F655E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logo_CAEGROUPE.jpg</w:t>
      </w:r>
    </w:p>
    <w:p w14:paraId="5075164E" w14:textId="77777777" w:rsidR="00EF05CD" w:rsidRDefault="003F655E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logo_Lev</w:t>
      </w:r>
      <w:r>
        <w:rPr>
          <w:color w:val="575756"/>
          <w:sz w:val="18"/>
        </w:rPr>
        <w:t>elOne.jpg</w:t>
      </w:r>
    </w:p>
    <w:p w14:paraId="36E599A2" w14:textId="77777777" w:rsidR="00EF05CD" w:rsidRDefault="003F655E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switch_LevelOne.jpg</w:t>
      </w:r>
    </w:p>
    <w:p w14:paraId="2143B9E4" w14:textId="77777777" w:rsidR="00EF05CD" w:rsidRDefault="003F655E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injecteur_LevelOne.jpg</w:t>
      </w:r>
    </w:p>
    <w:p w14:paraId="3E3F11BB" w14:textId="77777777" w:rsidR="00EF05CD" w:rsidRDefault="003F655E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spacing w:before="24"/>
        <w:ind w:hanging="361"/>
        <w:rPr>
          <w:sz w:val="18"/>
        </w:rPr>
      </w:pPr>
      <w:r>
        <w:rPr>
          <w:color w:val="575756"/>
          <w:sz w:val="18"/>
        </w:rPr>
        <w:t>répéteur_LevelOne.jpg</w:t>
      </w:r>
    </w:p>
    <w:p w14:paraId="14980BBA" w14:textId="77777777" w:rsidR="00EF05CD" w:rsidRDefault="00EF05CD">
      <w:pPr>
        <w:pStyle w:val="Corpsdetexte"/>
      </w:pPr>
    </w:p>
    <w:p w14:paraId="28069B6A" w14:textId="77777777" w:rsidR="00EF05CD" w:rsidRDefault="00EF05CD">
      <w:pPr>
        <w:pStyle w:val="Corpsdetexte"/>
      </w:pPr>
    </w:p>
    <w:p w14:paraId="2084F7DE" w14:textId="77777777" w:rsidR="00EF05CD" w:rsidRDefault="00EF05CD">
      <w:pPr>
        <w:pStyle w:val="Corpsdetexte"/>
        <w:spacing w:before="1"/>
      </w:pPr>
    </w:p>
    <w:p w14:paraId="2825C8A1" w14:textId="77777777" w:rsidR="00EF05CD" w:rsidRDefault="003F655E">
      <w:pPr>
        <w:spacing w:before="1"/>
        <w:ind w:left="110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 GROUPE</w:t>
      </w:r>
    </w:p>
    <w:p w14:paraId="4C8E9F2E" w14:textId="77777777" w:rsidR="00EF05CD" w:rsidRDefault="00EF05CD">
      <w:pPr>
        <w:pStyle w:val="Corpsdetexte"/>
        <w:spacing w:before="11"/>
        <w:rPr>
          <w:rFonts w:ascii="Roboto-Black"/>
          <w:b/>
          <w:sz w:val="15"/>
        </w:rPr>
      </w:pPr>
    </w:p>
    <w:p w14:paraId="167D879F" w14:textId="77777777" w:rsidR="00EF05CD" w:rsidRDefault="003F655E">
      <w:pPr>
        <w:spacing w:before="1"/>
        <w:ind w:left="110" w:right="109"/>
        <w:jc w:val="both"/>
        <w:rPr>
          <w:sz w:val="16"/>
        </w:rPr>
      </w:pPr>
      <w:r>
        <w:rPr>
          <w:sz w:val="16"/>
        </w:rPr>
        <w:t>Depuis sa création en 1987, CAE GROUPE a développé et organisé son offre pour proposer des solutions globales de câblage, de connectivité et de communication, qui répondent à trois principaux marchés : le Smart Building, l’Industrie et le Live (Audio Vidéo</w:t>
      </w:r>
      <w:r>
        <w:rPr>
          <w:sz w:val="16"/>
        </w:rPr>
        <w:t xml:space="preserve"> </w:t>
      </w:r>
      <w:proofErr w:type="spellStart"/>
      <w:r>
        <w:rPr>
          <w:sz w:val="16"/>
        </w:rPr>
        <w:t>Broadcast</w:t>
      </w:r>
      <w:proofErr w:type="spellEnd"/>
      <w:r>
        <w:rPr>
          <w:sz w:val="16"/>
        </w:rPr>
        <w:t>).</w:t>
      </w:r>
    </w:p>
    <w:p w14:paraId="68C8A56B" w14:textId="77777777" w:rsidR="00EF05CD" w:rsidRDefault="003F655E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Group, société néerlandaise, cotée à la bourse d’Amsterdam. En s’appuyant sur les 15 usines TKH Group, CAE GROUPE dispose d’une puissance de production entièrement maîtrisée, et organisée par spécialité : fibr</w:t>
      </w:r>
      <w:r>
        <w:rPr>
          <w:sz w:val="16"/>
        </w:rPr>
        <w:t>e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747EDEB9" w14:textId="77777777" w:rsidR="00EF05CD" w:rsidRDefault="003F655E">
      <w:pPr>
        <w:spacing w:before="47"/>
        <w:ind w:left="110"/>
        <w:jc w:val="both"/>
        <w:rPr>
          <w:sz w:val="16"/>
        </w:rPr>
      </w:pPr>
      <w:proofErr w:type="gramStart"/>
      <w:r>
        <w:rPr>
          <w:sz w:val="16"/>
        </w:rPr>
        <w:t>des</w:t>
      </w:r>
      <w:proofErr w:type="gramEnd"/>
      <w:r>
        <w:rPr>
          <w:sz w:val="16"/>
        </w:rPr>
        <w:t xml:space="preserve"> frontières avec des bureaux de représentation et un large réseau de distributeurs partenaires.</w:t>
      </w:r>
    </w:p>
    <w:sectPr w:rsidR="00EF05CD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-Black">
    <w:altName w:val="Roboto Black"/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CF1F24"/>
    <w:multiLevelType w:val="hybridMultilevel"/>
    <w:tmpl w:val="B28426CA"/>
    <w:lvl w:ilvl="0" w:tplc="82E615B4">
      <w:numFmt w:val="bullet"/>
      <w:lvlText w:val="•"/>
      <w:lvlJc w:val="left"/>
      <w:pPr>
        <w:ind w:left="470" w:hanging="360"/>
      </w:pPr>
      <w:rPr>
        <w:rFonts w:ascii="Roboto" w:eastAsia="Roboto" w:hAnsi="Roboto" w:cs="Roboto" w:hint="default"/>
        <w:color w:val="575756"/>
        <w:w w:val="100"/>
        <w:sz w:val="18"/>
        <w:szCs w:val="18"/>
        <w:lang w:val="fr-FR" w:eastAsia="fr-FR" w:bidi="fr-FR"/>
      </w:rPr>
    </w:lvl>
    <w:lvl w:ilvl="1" w:tplc="0910035A">
      <w:numFmt w:val="bullet"/>
      <w:lvlText w:val="•"/>
      <w:lvlJc w:val="left"/>
      <w:pPr>
        <w:ind w:left="1474" w:hanging="360"/>
      </w:pPr>
      <w:rPr>
        <w:rFonts w:hint="default"/>
        <w:lang w:val="fr-FR" w:eastAsia="fr-FR" w:bidi="fr-FR"/>
      </w:rPr>
    </w:lvl>
    <w:lvl w:ilvl="2" w:tplc="D5C4456A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5848396E">
      <w:numFmt w:val="bullet"/>
      <w:lvlText w:val="•"/>
      <w:lvlJc w:val="left"/>
      <w:pPr>
        <w:ind w:left="3463" w:hanging="360"/>
      </w:pPr>
      <w:rPr>
        <w:rFonts w:hint="default"/>
        <w:lang w:val="fr-FR" w:eastAsia="fr-FR" w:bidi="fr-FR"/>
      </w:rPr>
    </w:lvl>
    <w:lvl w:ilvl="4" w:tplc="7E224B60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FF56377E">
      <w:numFmt w:val="bullet"/>
      <w:lvlText w:val="•"/>
      <w:lvlJc w:val="left"/>
      <w:pPr>
        <w:ind w:left="5452" w:hanging="360"/>
      </w:pPr>
      <w:rPr>
        <w:rFonts w:hint="default"/>
        <w:lang w:val="fr-FR" w:eastAsia="fr-FR" w:bidi="fr-FR"/>
      </w:rPr>
    </w:lvl>
    <w:lvl w:ilvl="6" w:tplc="61BE53A6">
      <w:numFmt w:val="bullet"/>
      <w:lvlText w:val="•"/>
      <w:lvlJc w:val="left"/>
      <w:pPr>
        <w:ind w:left="6447" w:hanging="360"/>
      </w:pPr>
      <w:rPr>
        <w:rFonts w:hint="default"/>
        <w:lang w:val="fr-FR" w:eastAsia="fr-FR" w:bidi="fr-FR"/>
      </w:rPr>
    </w:lvl>
    <w:lvl w:ilvl="7" w:tplc="7F7AF4DA">
      <w:numFmt w:val="bullet"/>
      <w:lvlText w:val="•"/>
      <w:lvlJc w:val="left"/>
      <w:pPr>
        <w:ind w:left="7441" w:hanging="360"/>
      </w:pPr>
      <w:rPr>
        <w:rFonts w:hint="default"/>
        <w:lang w:val="fr-FR" w:eastAsia="fr-FR" w:bidi="fr-FR"/>
      </w:rPr>
    </w:lvl>
    <w:lvl w:ilvl="8" w:tplc="E4B22510">
      <w:numFmt w:val="bullet"/>
      <w:lvlText w:val="•"/>
      <w:lvlJc w:val="left"/>
      <w:pPr>
        <w:ind w:left="843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05CD"/>
    <w:rsid w:val="003F655E"/>
    <w:rsid w:val="00E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7C4C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/>
      <w:outlineLvl w:val="1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e-groupe.fr/" TargetMode="External"/><Relationship Id="rId12" Type="http://schemas.openxmlformats.org/officeDocument/2006/relationships/hyperlink" Target="mailto:a.leon@avvia.eu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ontact@cae-gr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2827</Characters>
  <Application>Microsoft Macintosh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2020-05-26T13:25:00Z</dcterms:created>
  <dcterms:modified xsi:type="dcterms:W3CDTF">2020-05-26T13:28:00Z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