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F34E42" w14:textId="77777777" w:rsidR="00DE1912" w:rsidRDefault="00010C19" w:rsidP="00010C19">
      <w:pPr>
        <w:pStyle w:val="Corpsdetexte"/>
        <w:spacing w:before="82"/>
        <w:ind w:left="3132" w:right="8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F3E63B0" wp14:editId="17836228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595EE4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D9A19CF" wp14:editId="2BDCF0E5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123ABC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4642B52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1DEA747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35C43B5D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4264031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</w:t>
      </w:r>
      <w:proofErr w:type="spellStart"/>
      <w:r>
        <w:t>14</w:t>
      </w:r>
      <w:proofErr w:type="spellEnd"/>
      <w:r>
        <w:t xml:space="preserve">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570E2FEA" w14:textId="77777777" w:rsidR="00DE1912" w:rsidRDefault="00DE1912">
      <w:pPr>
        <w:pStyle w:val="Corpsdetexte"/>
        <w:spacing w:before="3"/>
        <w:rPr>
          <w:sz w:val="14"/>
        </w:rPr>
      </w:pPr>
    </w:p>
    <w:p w14:paraId="5650FA40" w14:textId="77777777" w:rsidR="00DE1912" w:rsidRDefault="00010C19">
      <w:pPr>
        <w:pStyle w:val="Heading1"/>
        <w:spacing w:before="96"/>
        <w:ind w:left="3132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7B9D45B5" w14:textId="77777777" w:rsidR="00DE1912" w:rsidRDefault="00DE1912">
      <w:pPr>
        <w:pStyle w:val="Corpsdetexte"/>
        <w:rPr>
          <w:rFonts w:ascii="Roboto-Black"/>
          <w:b/>
          <w:sz w:val="22"/>
        </w:rPr>
      </w:pPr>
    </w:p>
    <w:p w14:paraId="5B883680" w14:textId="77777777" w:rsidR="00DE1912" w:rsidRDefault="00010C19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010C19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010C19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010C19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010C19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139FAF2F" w14:textId="77777777" w:rsidR="00DE1912" w:rsidRDefault="00010C19">
      <w:pPr>
        <w:pStyle w:val="Corpsdetexte"/>
        <w:spacing w:line="203" w:lineRule="exact"/>
        <w:ind w:left="1186"/>
      </w:pPr>
      <w:r>
        <w:t>Alexandra Léon</w:t>
      </w:r>
    </w:p>
    <w:p w14:paraId="70105A04" w14:textId="77777777" w:rsidR="00DE1912" w:rsidRDefault="00DE1912">
      <w:pPr>
        <w:spacing w:line="203" w:lineRule="exact"/>
        <w:sectPr w:rsidR="00DE1912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3E5A3148" w14:textId="77777777" w:rsidR="00DE1912" w:rsidRDefault="00010C19">
      <w:pPr>
        <w:pStyle w:val="Corpsdetexte"/>
        <w:jc w:val="right"/>
      </w:pPr>
      <w:r>
        <w:lastRenderedPageBreak/>
        <w:t>06 60 93 29 37</w:t>
      </w:r>
    </w:p>
    <w:p w14:paraId="25216B4D" w14:textId="77777777" w:rsidR="00DE1912" w:rsidRDefault="00010C19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0E1E4224" w14:textId="77777777" w:rsidR="00DE1912" w:rsidRDefault="00010C19" w:rsidP="00010C19">
      <w:pPr>
        <w:pStyle w:val="Corpsdetexte"/>
        <w:spacing w:before="74"/>
        <w:ind w:left="993"/>
      </w:pPr>
      <w:r>
        <w:br w:type="column"/>
      </w:r>
      <w:r>
        <w:lastRenderedPageBreak/>
        <w:t>Février 2020</w:t>
      </w:r>
    </w:p>
    <w:p w14:paraId="39DC1866" w14:textId="77777777" w:rsidR="00DE1912" w:rsidRDefault="00DE1912">
      <w:pPr>
        <w:sectPr w:rsidR="00DE1912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4BA0D92C" w14:textId="77777777" w:rsidR="00DE1912" w:rsidRDefault="00DE1912">
      <w:pPr>
        <w:pStyle w:val="Corpsdetexte"/>
      </w:pPr>
    </w:p>
    <w:p w14:paraId="74B837D6" w14:textId="77777777" w:rsidR="00DE1912" w:rsidRDefault="00DE1912">
      <w:pPr>
        <w:pStyle w:val="Corpsdetexte"/>
      </w:pPr>
    </w:p>
    <w:p w14:paraId="5A42F830" w14:textId="77777777" w:rsidR="00DE1912" w:rsidRDefault="00DE1912">
      <w:pPr>
        <w:pStyle w:val="Corpsdetexte"/>
        <w:spacing w:before="8"/>
        <w:rPr>
          <w:sz w:val="15"/>
        </w:rPr>
      </w:pPr>
    </w:p>
    <w:p w14:paraId="5638358F" w14:textId="77777777" w:rsidR="00DE1912" w:rsidRPr="00010C19" w:rsidRDefault="00010C19">
      <w:pPr>
        <w:spacing w:before="92"/>
        <w:ind w:left="110" w:right="109"/>
        <w:jc w:val="both"/>
        <w:rPr>
          <w:rFonts w:ascii="Roboto-Black" w:hAnsi="Roboto-Black"/>
          <w:b/>
          <w:sz w:val="34"/>
          <w:szCs w:val="34"/>
        </w:rPr>
      </w:pPr>
      <w:r w:rsidRPr="00010C19">
        <w:rPr>
          <w:rFonts w:ascii="Roboto-Black" w:hAnsi="Roboto-Black"/>
          <w:b/>
          <w:sz w:val="34"/>
          <w:szCs w:val="34"/>
        </w:rPr>
        <w:t>CAE</w:t>
      </w:r>
      <w:r w:rsidRPr="00010C19">
        <w:rPr>
          <w:rFonts w:ascii="Roboto-Black" w:hAnsi="Roboto-Black"/>
          <w:b/>
          <w:spacing w:val="-23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GROUPE</w:t>
      </w:r>
      <w:r w:rsidRPr="00010C19">
        <w:rPr>
          <w:rFonts w:ascii="Roboto-Black" w:hAnsi="Roboto-Black"/>
          <w:b/>
          <w:sz w:val="34"/>
          <w:szCs w:val="34"/>
        </w:rPr>
        <w:t>–</w:t>
      </w:r>
      <w:r w:rsidRPr="00010C19">
        <w:rPr>
          <w:rFonts w:ascii="Roboto-Black" w:hAnsi="Roboto-Black"/>
          <w:b/>
          <w:sz w:val="34"/>
          <w:szCs w:val="34"/>
        </w:rPr>
        <w:t>AXITRONIC</w:t>
      </w:r>
      <w:r w:rsidRPr="00010C19">
        <w:rPr>
          <w:rFonts w:ascii="Roboto-Black" w:hAnsi="Roboto-Black"/>
          <w:b/>
          <w:spacing w:val="-22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présente</w:t>
      </w:r>
      <w:r w:rsidRPr="00010C19">
        <w:rPr>
          <w:rFonts w:ascii="Roboto-Black" w:hAnsi="Roboto-Black"/>
          <w:b/>
          <w:spacing w:val="-23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son</w:t>
      </w:r>
      <w:r w:rsidRPr="00010C19">
        <w:rPr>
          <w:rFonts w:ascii="Roboto-Black" w:hAnsi="Roboto-Black"/>
          <w:b/>
          <w:spacing w:val="-23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nouveau</w:t>
      </w:r>
      <w:r w:rsidRPr="00010C19">
        <w:rPr>
          <w:rFonts w:ascii="Roboto-Black" w:hAnsi="Roboto-Black"/>
          <w:b/>
          <w:spacing w:val="-23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câble</w:t>
      </w:r>
      <w:r w:rsidRPr="00010C19">
        <w:rPr>
          <w:rFonts w:ascii="Roboto-Black" w:hAnsi="Roboto-Black"/>
          <w:b/>
          <w:spacing w:val="-23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GRADE 3TV conforme à la norme XP C</w:t>
      </w:r>
      <w:r w:rsidRPr="00010C19">
        <w:rPr>
          <w:rFonts w:ascii="Roboto-Black" w:hAnsi="Roboto-Black"/>
          <w:b/>
          <w:spacing w:val="-4"/>
          <w:sz w:val="34"/>
          <w:szCs w:val="34"/>
        </w:rPr>
        <w:t xml:space="preserve"> </w:t>
      </w:r>
      <w:r w:rsidRPr="00010C19">
        <w:rPr>
          <w:rFonts w:ascii="Roboto-Black" w:hAnsi="Roboto-Black"/>
          <w:b/>
          <w:sz w:val="34"/>
          <w:szCs w:val="34"/>
        </w:rPr>
        <w:t>93-531-17</w:t>
      </w:r>
    </w:p>
    <w:p w14:paraId="456B8CE9" w14:textId="77777777" w:rsidR="00DE1912" w:rsidRDefault="00010C19">
      <w:pPr>
        <w:spacing w:before="205"/>
        <w:ind w:left="110" w:right="107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  <w:spacing w:val="-4"/>
        </w:rPr>
        <w:t xml:space="preserve">L’article </w:t>
      </w:r>
      <w:r>
        <w:rPr>
          <w:rFonts w:ascii="Roboto-Black" w:hAnsi="Roboto-Black"/>
          <w:b/>
        </w:rPr>
        <w:t>R. 111-14 du Code de la construction et de l’habitation, la norme NFC 15-100 titres 10 et 11 et la norme expérimentale XP C 90-483, ont introduit de nouveaux éléments dans le câblage résidentiel.</w:t>
      </w:r>
      <w:r>
        <w:rPr>
          <w:rFonts w:ascii="Roboto-Black" w:hAnsi="Roboto-Black"/>
          <w:b/>
        </w:rPr>
        <w:t xml:space="preserve"> Pour</w:t>
      </w:r>
      <w:r>
        <w:rPr>
          <w:rFonts w:ascii="Roboto-Black" w:hAnsi="Roboto-Black"/>
          <w:b/>
          <w:spacing w:val="-18"/>
        </w:rPr>
        <w:t xml:space="preserve"> </w:t>
      </w:r>
      <w:r>
        <w:rPr>
          <w:rFonts w:ascii="Roboto-Black" w:hAnsi="Roboto-Black"/>
          <w:b/>
        </w:rPr>
        <w:t>répondre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à</w:t>
      </w:r>
      <w:r>
        <w:rPr>
          <w:rFonts w:ascii="Roboto-Black" w:hAnsi="Roboto-Black"/>
          <w:b/>
          <w:spacing w:val="-17"/>
        </w:rPr>
        <w:t xml:space="preserve"> </w:t>
      </w:r>
      <w:r>
        <w:rPr>
          <w:rFonts w:ascii="Roboto-Black" w:hAnsi="Roboto-Black"/>
          <w:b/>
        </w:rPr>
        <w:t>cette</w:t>
      </w:r>
      <w:r>
        <w:rPr>
          <w:rFonts w:ascii="Roboto-Black" w:hAnsi="Roboto-Black"/>
          <w:b/>
          <w:spacing w:val="-18"/>
        </w:rPr>
        <w:t xml:space="preserve"> </w:t>
      </w:r>
      <w:r>
        <w:rPr>
          <w:rFonts w:ascii="Roboto-Black" w:hAnsi="Roboto-Black"/>
          <w:b/>
        </w:rPr>
        <w:t>évolution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normative,</w:t>
      </w:r>
      <w:r>
        <w:rPr>
          <w:rFonts w:ascii="Roboto-Black" w:hAnsi="Roboto-Black"/>
          <w:b/>
          <w:spacing w:val="-18"/>
        </w:rPr>
        <w:t xml:space="preserve"> </w:t>
      </w:r>
      <w:r>
        <w:rPr>
          <w:rFonts w:ascii="Roboto-Black" w:hAnsi="Roboto-Black"/>
          <w:b/>
        </w:rPr>
        <w:t>CAE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GROUPE</w:t>
      </w:r>
      <w:r>
        <w:rPr>
          <w:rFonts w:ascii="Roboto-Black" w:hAnsi="Roboto-Black"/>
          <w:b/>
          <w:spacing w:val="-17"/>
        </w:rPr>
        <w:t xml:space="preserve"> </w:t>
      </w:r>
      <w:r>
        <w:rPr>
          <w:rFonts w:ascii="Roboto-Black" w:hAnsi="Roboto-Black"/>
          <w:b/>
        </w:rPr>
        <w:t>–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AXITRONIC</w:t>
      </w:r>
      <w:r>
        <w:rPr>
          <w:rFonts w:ascii="Roboto-Black" w:hAnsi="Roboto-Black"/>
          <w:b/>
          <w:spacing w:val="-17"/>
        </w:rPr>
        <w:t xml:space="preserve"> </w:t>
      </w:r>
      <w:r>
        <w:rPr>
          <w:rFonts w:ascii="Roboto-Black" w:hAnsi="Roboto-Black"/>
          <w:b/>
        </w:rPr>
        <w:t>a</w:t>
      </w:r>
      <w:r>
        <w:rPr>
          <w:rFonts w:ascii="Roboto-Black" w:hAnsi="Roboto-Black"/>
          <w:b/>
          <w:spacing w:val="-18"/>
        </w:rPr>
        <w:t xml:space="preserve"> </w:t>
      </w:r>
      <w:r>
        <w:rPr>
          <w:rFonts w:ascii="Roboto-Black" w:hAnsi="Roboto-Black"/>
          <w:b/>
        </w:rPr>
        <w:t>développé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une</w:t>
      </w:r>
      <w:r>
        <w:rPr>
          <w:rFonts w:ascii="Roboto-Black" w:hAnsi="Roboto-Black"/>
          <w:b/>
          <w:spacing w:val="-17"/>
        </w:rPr>
        <w:t xml:space="preserve"> </w:t>
      </w:r>
      <w:r>
        <w:rPr>
          <w:rFonts w:ascii="Roboto-Black" w:hAnsi="Roboto-Black"/>
          <w:b/>
        </w:rPr>
        <w:t>nouvelle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</w:rPr>
        <w:t>version de son câble GRADE 3TV : le</w:t>
      </w:r>
      <w:r>
        <w:rPr>
          <w:rFonts w:ascii="Roboto-Black" w:hAnsi="Roboto-Black"/>
          <w:b/>
          <w:spacing w:val="-3"/>
        </w:rPr>
        <w:t xml:space="preserve"> </w:t>
      </w:r>
      <w:r>
        <w:rPr>
          <w:rFonts w:ascii="Roboto-Black" w:hAnsi="Roboto-Black"/>
          <w:b/>
        </w:rPr>
        <w:t>G3TV4C5.</w:t>
      </w:r>
    </w:p>
    <w:p w14:paraId="4A0997F1" w14:textId="77777777" w:rsidR="00DE1912" w:rsidRDefault="00DE1912">
      <w:pPr>
        <w:pStyle w:val="Corpsdetexte"/>
        <w:spacing w:before="7"/>
        <w:rPr>
          <w:rFonts w:ascii="Roboto-Black"/>
          <w:b/>
          <w:sz w:val="21"/>
        </w:rPr>
      </w:pPr>
    </w:p>
    <w:p w14:paraId="6D16D576" w14:textId="77777777" w:rsidR="00DE1912" w:rsidRDefault="00010C19">
      <w:pPr>
        <w:pStyle w:val="Heading1"/>
      </w:pPr>
      <w:r>
        <w:t>La norme</w:t>
      </w:r>
      <w:bookmarkStart w:id="0" w:name="_GoBack"/>
      <w:bookmarkEnd w:id="0"/>
    </w:p>
    <w:p w14:paraId="2007F2B3" w14:textId="77777777" w:rsidR="00DE1912" w:rsidRDefault="00010C19">
      <w:pPr>
        <w:pStyle w:val="Corpsdetexte"/>
        <w:ind w:left="110" w:right="105"/>
        <w:jc w:val="both"/>
      </w:pPr>
      <w:r>
        <w:rPr>
          <w:spacing w:val="-4"/>
        </w:rPr>
        <w:t xml:space="preserve">L’article </w:t>
      </w:r>
      <w:r>
        <w:t>R. 111-14 du Code de la construction et de l’habitation, la norme NFC 15-100 titres 10 et 11 et la norme expérimentale</w:t>
      </w:r>
      <w:r>
        <w:rPr>
          <w:spacing w:val="-4"/>
        </w:rPr>
        <w:t xml:space="preserve"> </w:t>
      </w:r>
      <w:r>
        <w:t>XP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90-483,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introduit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nouveaux</w:t>
      </w:r>
      <w:r>
        <w:rPr>
          <w:spacing w:val="-3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câblage</w:t>
      </w:r>
      <w:r>
        <w:rPr>
          <w:spacing w:val="-3"/>
        </w:rPr>
        <w:t xml:space="preserve"> </w:t>
      </w:r>
      <w:r>
        <w:t>résidentiel.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effet,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 communication</w:t>
      </w:r>
      <w:r>
        <w:rPr>
          <w:spacing w:val="-3"/>
        </w:rPr>
        <w:t xml:space="preserve"> </w:t>
      </w:r>
      <w:r>
        <w:t>tels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téléphone,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l’audiovisuel</w:t>
      </w:r>
      <w:r>
        <w:rPr>
          <w:spacing w:val="-3"/>
        </w:rPr>
        <w:t xml:space="preserve"> </w:t>
      </w:r>
      <w:r>
        <w:rPr>
          <w:spacing w:val="-5"/>
        </w:rPr>
        <w:t>(TNT,</w:t>
      </w:r>
      <w:r>
        <w:rPr>
          <w:spacing w:val="-3"/>
        </w:rPr>
        <w:t xml:space="preserve"> </w:t>
      </w:r>
      <w:r>
        <w:t>satellite,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dû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distribués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câble</w:t>
      </w:r>
      <w:r>
        <w:rPr>
          <w:spacing w:val="-3"/>
        </w:rPr>
        <w:t xml:space="preserve"> </w:t>
      </w:r>
      <w:r>
        <w:t>à paires</w:t>
      </w:r>
      <w:r>
        <w:rPr>
          <w:spacing w:val="-9"/>
        </w:rPr>
        <w:t xml:space="preserve"> </w:t>
      </w:r>
      <w:r>
        <w:t>torsadées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coffret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l’arrêté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03</w:t>
      </w:r>
      <w:r>
        <w:rPr>
          <w:spacing w:val="-9"/>
        </w:rPr>
        <w:t xml:space="preserve"> </w:t>
      </w:r>
      <w:r>
        <w:t>août</w:t>
      </w:r>
      <w:r>
        <w:rPr>
          <w:spacing w:val="-9"/>
        </w:rPr>
        <w:t xml:space="preserve"> </w:t>
      </w:r>
      <w:r>
        <w:t>2016,</w:t>
      </w:r>
      <w:r>
        <w:rPr>
          <w:spacing w:val="-9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signe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disparition</w:t>
      </w:r>
      <w:r>
        <w:rPr>
          <w:spacing w:val="-10"/>
        </w:rPr>
        <w:t xml:space="preserve"> </w:t>
      </w:r>
      <w:r>
        <w:t>du câble coaxial pour la distribution TV (</w:t>
      </w:r>
      <w:r>
        <w:t>hors colonne montante) et du PTT298 pour la</w:t>
      </w:r>
      <w:r>
        <w:rPr>
          <w:spacing w:val="-17"/>
        </w:rPr>
        <w:t xml:space="preserve"> </w:t>
      </w:r>
      <w:r>
        <w:t>téléphonie.</w:t>
      </w:r>
    </w:p>
    <w:p w14:paraId="6BF686FB" w14:textId="77777777" w:rsidR="00DE1912" w:rsidRDefault="00DE1912">
      <w:pPr>
        <w:pStyle w:val="Corpsdetexte"/>
      </w:pPr>
    </w:p>
    <w:p w14:paraId="6BA52FBC" w14:textId="77777777" w:rsidR="00DE1912" w:rsidRDefault="00010C19">
      <w:pPr>
        <w:pStyle w:val="Corpsdetexte"/>
        <w:ind w:left="110"/>
        <w:jc w:val="both"/>
      </w:pPr>
      <w:r>
        <w:t>Un nouvel arrêté datant de juin 2019 fait évoluer cette norme avec les modifications suivantes :</w:t>
      </w:r>
    </w:p>
    <w:p w14:paraId="3B253682" w14:textId="77777777" w:rsidR="00DE1912" w:rsidRDefault="00DE1912">
      <w:pPr>
        <w:pStyle w:val="Corpsdetexte"/>
      </w:pPr>
    </w:p>
    <w:p w14:paraId="1DA8F2C5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 xml:space="preserve">Amélioration du niveau CPR : </w:t>
      </w:r>
      <w:proofErr w:type="spellStart"/>
      <w:r>
        <w:rPr>
          <w:sz w:val="20"/>
        </w:rPr>
        <w:t>Cca</w:t>
      </w:r>
      <w:proofErr w:type="spellEnd"/>
      <w:r>
        <w:rPr>
          <w:sz w:val="20"/>
        </w:rPr>
        <w:t xml:space="preserve"> s1, d1,</w:t>
      </w:r>
      <w:r>
        <w:rPr>
          <w:spacing w:val="-1"/>
          <w:sz w:val="20"/>
        </w:rPr>
        <w:t xml:space="preserve"> </w:t>
      </w:r>
      <w:r>
        <w:rPr>
          <w:sz w:val="20"/>
        </w:rPr>
        <w:t>a1</w:t>
      </w:r>
    </w:p>
    <w:p w14:paraId="7576255D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right="108"/>
        <w:rPr>
          <w:sz w:val="20"/>
        </w:rPr>
      </w:pPr>
      <w:r>
        <w:rPr>
          <w:sz w:val="20"/>
        </w:rPr>
        <w:t>Atténuation de couplage : -85dB sur la plage de fréquence</w:t>
      </w:r>
      <w:r>
        <w:rPr>
          <w:sz w:val="20"/>
        </w:rPr>
        <w:t xml:space="preserve"> 0-100MHz pour une meilleure protection électromagnétique</w:t>
      </w:r>
    </w:p>
    <w:p w14:paraId="50844AA8" w14:textId="77777777" w:rsidR="00DE1912" w:rsidRDefault="00DE1912">
      <w:pPr>
        <w:pStyle w:val="Corpsdetexte"/>
        <w:spacing w:before="11"/>
        <w:rPr>
          <w:sz w:val="17"/>
        </w:rPr>
      </w:pPr>
    </w:p>
    <w:p w14:paraId="7E310231" w14:textId="77777777" w:rsidR="00DE1912" w:rsidRDefault="00010C19">
      <w:pPr>
        <w:pStyle w:val="Heading1"/>
        <w:spacing w:before="1"/>
        <w:jc w:val="both"/>
      </w:pPr>
      <w:r>
        <w:t>Le câble Grade 3 TV AXITRONIC : conformité à la norme</w:t>
      </w:r>
    </w:p>
    <w:p w14:paraId="392E18F9" w14:textId="77777777" w:rsidR="00DE1912" w:rsidRDefault="00010C19">
      <w:pPr>
        <w:pStyle w:val="Corpsdetexte"/>
        <w:ind w:left="110" w:right="107"/>
        <w:jc w:val="both"/>
      </w:pPr>
      <w:r>
        <w:t>La</w:t>
      </w:r>
      <w:r>
        <w:rPr>
          <w:spacing w:val="-9"/>
        </w:rPr>
        <w:t xml:space="preserve"> </w:t>
      </w:r>
      <w:r>
        <w:t>nouvelle</w:t>
      </w:r>
      <w:r>
        <w:rPr>
          <w:spacing w:val="-9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câble</w:t>
      </w:r>
      <w:r>
        <w:rPr>
          <w:spacing w:val="-9"/>
        </w:rPr>
        <w:t xml:space="preserve"> </w:t>
      </w:r>
      <w:proofErr w:type="spellStart"/>
      <w:r>
        <w:t>Axitronic</w:t>
      </w:r>
      <w:proofErr w:type="spellEnd"/>
      <w:r>
        <w:rPr>
          <w:spacing w:val="-9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rPr>
          <w:spacing w:val="-6"/>
        </w:rPr>
        <w:t>3TV,</w:t>
      </w:r>
      <w:r>
        <w:rPr>
          <w:spacing w:val="-9"/>
        </w:rPr>
        <w:t xml:space="preserve"> </w:t>
      </w:r>
      <w:r>
        <w:t>développée</w:t>
      </w:r>
      <w:r>
        <w:rPr>
          <w:spacing w:val="-9"/>
        </w:rPr>
        <w:t xml:space="preserve"> </w:t>
      </w:r>
      <w:r>
        <w:t>grâce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l’expertise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équipes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CAE</w:t>
      </w:r>
      <w:r>
        <w:rPr>
          <w:spacing w:val="-9"/>
        </w:rPr>
        <w:t xml:space="preserve"> </w:t>
      </w:r>
      <w:r>
        <w:t>GROUPE,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en tout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l’évolution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résidentielle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assurera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chaînes</w:t>
      </w:r>
      <w:r>
        <w:rPr>
          <w:spacing w:val="-10"/>
        </w:rPr>
        <w:t xml:space="preserve"> </w:t>
      </w:r>
      <w:r>
        <w:t xml:space="preserve">TV souhaitées, depuis les coffrets de communication de la marque, </w:t>
      </w:r>
      <w:proofErr w:type="spellStart"/>
      <w:r>
        <w:t>ASBNEPx</w:t>
      </w:r>
      <w:proofErr w:type="spellEnd"/>
      <w:r>
        <w:t>, jusqu’aux prises</w:t>
      </w:r>
      <w:r>
        <w:rPr>
          <w:spacing w:val="-19"/>
        </w:rPr>
        <w:t xml:space="preserve"> </w:t>
      </w:r>
      <w:r>
        <w:t>terminales.</w:t>
      </w:r>
    </w:p>
    <w:p w14:paraId="3880D602" w14:textId="77777777" w:rsidR="00DE1912" w:rsidRDefault="00DE1912">
      <w:pPr>
        <w:pStyle w:val="Corpsdetexte"/>
        <w:spacing w:before="11"/>
        <w:rPr>
          <w:sz w:val="19"/>
        </w:rPr>
      </w:pPr>
    </w:p>
    <w:p w14:paraId="419EE47E" w14:textId="77777777" w:rsidR="00DE1912" w:rsidRDefault="00010C19">
      <w:pPr>
        <w:pStyle w:val="Heading1"/>
      </w:pPr>
      <w:r>
        <w:t>Caractéristiques</w:t>
      </w:r>
    </w:p>
    <w:p w14:paraId="07B0807B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19"/>
        <w:ind w:hanging="361"/>
        <w:rPr>
          <w:sz w:val="18"/>
        </w:rPr>
      </w:pPr>
      <w:r>
        <w:rPr>
          <w:sz w:val="18"/>
        </w:rPr>
        <w:t>Câble de communication à destination du</w:t>
      </w:r>
      <w:r>
        <w:rPr>
          <w:spacing w:val="-2"/>
          <w:sz w:val="18"/>
        </w:rPr>
        <w:t xml:space="preserve"> </w:t>
      </w:r>
      <w:r>
        <w:rPr>
          <w:sz w:val="18"/>
        </w:rPr>
        <w:t>résidentiel</w:t>
      </w:r>
    </w:p>
    <w:p w14:paraId="193DA5D5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sz w:val="18"/>
        </w:rPr>
        <w:t>Solution idéale pour des applications IPTV ou diffusion de signaux TV tels que le DVB-T/T2 et</w:t>
      </w:r>
      <w:r>
        <w:rPr>
          <w:spacing w:val="-16"/>
          <w:sz w:val="18"/>
        </w:rPr>
        <w:t xml:space="preserve"> </w:t>
      </w:r>
      <w:r>
        <w:rPr>
          <w:sz w:val="18"/>
        </w:rPr>
        <w:t>DVB-S/S2</w:t>
      </w:r>
    </w:p>
    <w:p w14:paraId="6D0FAA3A" w14:textId="77777777" w:rsidR="00DE1912" w:rsidRDefault="00DE1912">
      <w:pPr>
        <w:pStyle w:val="Corpsdetexte"/>
        <w:spacing w:before="5"/>
        <w:rPr>
          <w:sz w:val="18"/>
        </w:rPr>
      </w:pPr>
    </w:p>
    <w:p w14:paraId="0D0268B6" w14:textId="77777777" w:rsidR="00DE1912" w:rsidRDefault="00010C19">
      <w:pPr>
        <w:pStyle w:val="Heading1"/>
      </w:pPr>
      <w:r>
        <w:t>Composition</w:t>
      </w:r>
    </w:p>
    <w:p w14:paraId="3077C87D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19"/>
        <w:ind w:hanging="361"/>
        <w:rPr>
          <w:sz w:val="18"/>
        </w:rPr>
      </w:pPr>
      <w:r>
        <w:rPr>
          <w:sz w:val="18"/>
        </w:rPr>
        <w:t>Câble F/FTP 4 paires LSZH, blindé écranté paire à paire associé à un blindage</w:t>
      </w:r>
      <w:r>
        <w:rPr>
          <w:spacing w:val="-7"/>
          <w:sz w:val="18"/>
        </w:rPr>
        <w:t xml:space="preserve"> </w:t>
      </w:r>
      <w:r>
        <w:rPr>
          <w:sz w:val="18"/>
        </w:rPr>
        <w:t>général</w:t>
      </w:r>
    </w:p>
    <w:p w14:paraId="7E5329FD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sz w:val="18"/>
        </w:rPr>
        <w:t>Bande passante 2.2GHz sur la paire 7/8 : permet la transmission de signaux haute</w:t>
      </w:r>
      <w:r>
        <w:rPr>
          <w:spacing w:val="-5"/>
          <w:sz w:val="18"/>
        </w:rPr>
        <w:t xml:space="preserve"> </w:t>
      </w:r>
      <w:r>
        <w:rPr>
          <w:sz w:val="18"/>
        </w:rPr>
        <w:t>fréquence</w:t>
      </w:r>
    </w:p>
    <w:p w14:paraId="577ED328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sz w:val="18"/>
        </w:rPr>
        <w:t>Supporte des débits jusqu’à</w:t>
      </w:r>
      <w:r>
        <w:rPr>
          <w:spacing w:val="-1"/>
          <w:sz w:val="18"/>
        </w:rPr>
        <w:t xml:space="preserve"> </w:t>
      </w:r>
      <w:r>
        <w:rPr>
          <w:sz w:val="18"/>
        </w:rPr>
        <w:t>10Gbps</w:t>
      </w:r>
    </w:p>
    <w:p w14:paraId="3777964D" w14:textId="77777777" w:rsidR="00DE1912" w:rsidRDefault="00DE1912">
      <w:pPr>
        <w:pStyle w:val="Corpsdetexte"/>
      </w:pPr>
    </w:p>
    <w:p w14:paraId="01CDC99D" w14:textId="77777777" w:rsidR="00DE1912" w:rsidRDefault="00DE1912">
      <w:pPr>
        <w:pStyle w:val="Corpsdetexte"/>
        <w:rPr>
          <w:sz w:val="26"/>
        </w:rPr>
      </w:pPr>
    </w:p>
    <w:p w14:paraId="4EBC4402" w14:textId="77777777" w:rsidR="00DE1912" w:rsidRDefault="00010C19">
      <w:pPr>
        <w:ind w:left="110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</w:t>
      </w:r>
      <w:r>
        <w:rPr>
          <w:rFonts w:ascii="Roboto-Black" w:hAnsi="Roboto-Black"/>
          <w:b/>
          <w:color w:val="575756"/>
          <w:sz w:val="18"/>
        </w:rPr>
        <w:t>uniqués de presse</w:t>
      </w:r>
    </w:p>
    <w:p w14:paraId="2789CE82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logo_CAEGROUPE.jpg</w:t>
      </w:r>
    </w:p>
    <w:p w14:paraId="6CC40A2B" w14:textId="77777777" w:rsidR="00DE1912" w:rsidRDefault="00010C19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CABLEGRADE3_CAE.jpg</w:t>
      </w:r>
    </w:p>
    <w:p w14:paraId="37C7159F" w14:textId="77777777" w:rsidR="00DE1912" w:rsidRDefault="00DE1912">
      <w:pPr>
        <w:pStyle w:val="Corpsdetexte"/>
      </w:pPr>
    </w:p>
    <w:p w14:paraId="6B95544B" w14:textId="77777777" w:rsidR="00DE1912" w:rsidRDefault="00DE1912">
      <w:pPr>
        <w:pStyle w:val="Corpsdetexte"/>
        <w:spacing w:before="2"/>
        <w:rPr>
          <w:sz w:val="18"/>
        </w:rPr>
      </w:pPr>
    </w:p>
    <w:p w14:paraId="5ACFB1C9" w14:textId="77777777" w:rsidR="00DE1912" w:rsidRDefault="00010C19">
      <w:pPr>
        <w:ind w:left="110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6CE465A0" w14:textId="77777777" w:rsidR="00DE1912" w:rsidRDefault="00DE1912">
      <w:pPr>
        <w:pStyle w:val="Corpsdetexte"/>
        <w:spacing w:before="11"/>
        <w:rPr>
          <w:rFonts w:ascii="Roboto-Black"/>
          <w:b/>
          <w:sz w:val="15"/>
        </w:rPr>
      </w:pPr>
    </w:p>
    <w:p w14:paraId="111BA3C3" w14:textId="77777777" w:rsidR="00DE1912" w:rsidRDefault="00010C19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 xml:space="preserve">Depuis sa création en 1987, CAE GROUPE a développé et organisé son offre pour proposer des solutions globales de câblage, de connectivité et de communication, qui répondent </w:t>
      </w:r>
      <w:r>
        <w:rPr>
          <w:sz w:val="16"/>
        </w:rPr>
        <w:t xml:space="preserve">à trois principaux marchés : le Smart Building, l’Industrie et le Live (Audio Vidéo </w:t>
      </w:r>
      <w:proofErr w:type="spellStart"/>
      <w:r>
        <w:rPr>
          <w:sz w:val="16"/>
        </w:rPr>
        <w:t>Broadcast</w:t>
      </w:r>
      <w:proofErr w:type="spellEnd"/>
      <w:r>
        <w:rPr>
          <w:sz w:val="16"/>
        </w:rPr>
        <w:t>).</w:t>
      </w:r>
    </w:p>
    <w:p w14:paraId="6C663466" w14:textId="77777777" w:rsidR="00DE1912" w:rsidRDefault="00010C19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</w:t>
      </w:r>
      <w:r>
        <w:rPr>
          <w:sz w:val="16"/>
        </w:rPr>
        <w:t xml:space="preserve"> puissance de production entièrement maîtrisée, et organisée par spécialité : fibre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27F50E9D" w14:textId="77777777" w:rsidR="00DE1912" w:rsidRDefault="00010C19">
      <w:pPr>
        <w:spacing w:before="47"/>
        <w:ind w:left="110"/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frontières avec des bureaux de représentation et un large réseau de distributeurs partenaires.</w:t>
      </w:r>
    </w:p>
    <w:sectPr w:rsidR="00DE1912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7E4BA6"/>
    <w:multiLevelType w:val="hybridMultilevel"/>
    <w:tmpl w:val="CFC8CCE6"/>
    <w:lvl w:ilvl="0" w:tplc="3512819C">
      <w:numFmt w:val="bullet"/>
      <w:lvlText w:val="•"/>
      <w:lvlJc w:val="left"/>
      <w:pPr>
        <w:ind w:left="470" w:hanging="360"/>
      </w:pPr>
      <w:rPr>
        <w:rFonts w:hint="default"/>
        <w:spacing w:val="-4"/>
        <w:w w:val="100"/>
        <w:lang w:val="fr-FR" w:eastAsia="fr-FR" w:bidi="fr-FR"/>
      </w:rPr>
    </w:lvl>
    <w:lvl w:ilvl="1" w:tplc="B116442E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1AF8DE4C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C3229F66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A6081B22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5F88426E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DBBA0114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AE1CF7C0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1DB2B066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E1912"/>
    <w:rsid w:val="00010C19"/>
    <w:rsid w:val="00D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0CC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2020-05-26T13:36:00Z</dcterms:created>
  <dcterms:modified xsi:type="dcterms:W3CDTF">2020-05-26T13:36:00Z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