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0ADE23E" w14:textId="77777777" w:rsidR="003E16E8" w:rsidRDefault="008836B9" w:rsidP="008836B9">
      <w:pPr>
        <w:pStyle w:val="Corpsdetexte"/>
        <w:spacing w:before="82"/>
        <w:ind w:left="3132" w:right="-60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110A07D7" wp14:editId="48DB85DE">
            <wp:simplePos x="0" y="0"/>
            <wp:positionH relativeFrom="page">
              <wp:posOffset>1178957</wp:posOffset>
            </wp:positionH>
            <wp:positionV relativeFrom="paragraph">
              <wp:posOffset>459205</wp:posOffset>
            </wp:positionV>
            <wp:extent cx="64935" cy="75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35" cy="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8AB696C">
          <v:shape id="_x0000_s1034" style="position:absolute;left:0;text-align:left;margin-left:107.15pt;margin-top:36.35pt;width:4pt;height:5.8pt;z-index:251659264;mso-position-horizontal-relative:page;mso-position-vertical-relative:text" coordorigin="2143,727" coordsize="80,116" o:spt="100" adj="0,,0" path="m2186,727l2143,727,2143,843,2153,843,2153,795,2190,795,2189,794,2202,792,2211,786,2153,786,2153,736,2211,736,2200,730,2186,727xm2190,795l2179,795,2211,843,2223,843,2190,795xm2211,736l2201,736,2211,747,2211,776,2201,786,2211,786,2212,785,2219,775,2221,761,2219,747,2211,736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52F80A8E" wp14:editId="10B9DDE1">
            <wp:simplePos x="0" y="0"/>
            <wp:positionH relativeFrom="page">
              <wp:posOffset>1516255</wp:posOffset>
            </wp:positionH>
            <wp:positionV relativeFrom="paragraph">
              <wp:posOffset>459311</wp:posOffset>
            </wp:positionV>
            <wp:extent cx="71196" cy="7581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96" cy="75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581B09E">
          <v:shape id="_x0000_s1033" style="position:absolute;left:0;text-align:left;margin-left:133.95pt;margin-top:36.25pt;width:4.5pt;height:5.9pt;z-index:251661312;mso-position-horizontal-relative:page;mso-position-vertical-relative:text" coordorigin="2680,725" coordsize="90,118" o:spt="100" adj="0,,0" path="m2690,725l2680,725,2680,796,2683,816,2691,830,2705,839,2725,843,2745,839,2753,834,2725,834,2710,831,2699,824,2692,812,2690,796,2690,725xm2770,725l2760,725,2760,796,2758,812,2751,824,2740,831,2725,834,2753,834,2759,830,2767,816,2770,796,2770,72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1B6179DD">
          <v:shape id="_x0000_s1032" style="position:absolute;left:0;text-align:left;margin-left:147.05pt;margin-top:36.35pt;width:3.95pt;height:5.8pt;z-index:251662336;mso-position-horizontal-relative:page;mso-position-vertical-relative:text" coordorigin="2941,727" coordsize="79,116" o:spt="100" adj="0,,0" path="m2985,727l2941,727,2941,843,2951,843,2951,795,2985,795,2999,792,3009,786,2951,786,2951,736,3009,736,3000,730,2985,727xm3009,736l2999,736,3009,747,3009,775,2999,786,3009,786,3010,785,3017,774,3020,761,3017,748,3010,737,3009,73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058CCC4F">
          <v:shape id="_x0000_s1031" style="position:absolute;left:0;text-align:left;margin-left:158.95pt;margin-top:36.35pt;width:3.7pt;height:5.8pt;z-index:251663360;mso-position-horizontal-relative:page;mso-position-vertical-relative:text" coordorigin="3180,727" coordsize="74,116" path="m3253,727l3180,727,3180,843,3253,843,3253,834,3190,834,3190,788,3252,788,3252,779,3190,779,3190,736,3253,736,3253,727xe" fillcolor="black" stroked="f">
            <v:path arrowok="t"/>
            <w10:wrap anchorx="page"/>
          </v:shape>
        </w:pict>
      </w:r>
      <w:r>
        <w:pict w14:anchorId="0586AEF2">
          <v:shape id="_x0000_s1030" style="position:absolute;left:0;text-align:left;margin-left:89.75pt;margin-top:7.45pt;width:75.35pt;height:23.85pt;z-index:251664384;mso-position-horizontal-relative:page;mso-position-vertical-relative:text" coordorigin="1796,149" coordsize="1507,477" o:spt="100" adj="0,,0" path="m2244,489l2240,474,2232,461,2219,452,2204,449,2193,451,2183,455,2175,461,2169,469,2169,469,2169,469,2144,500,2112,524,2075,540,2034,545,2003,542,1973,533,1946,519,1922,499,1902,475,1888,448,1879,418,1876,387,1888,326,1922,275,1973,241,2034,229,2075,234,2111,249,2143,273,2168,303,2174,312,2182,318,2192,323,2203,324,2219,321,2231,312,2240,300,2243,284,2243,277,2241,270,2238,264,2238,264,2237,263,2236,261,2235,260,2210,229,2198,215,2150,180,2095,157,2034,149,1959,161,1893,195,1842,247,1808,312,1796,387,1801,434,1814,478,1836,519,1866,555,1902,585,1943,607,1987,621,2034,625,2097,617,2153,593,2201,557,2210,545,2238,509,2238,509,2242,503,2244,497,2244,489m2764,377l2764,377,2750,305,2715,242,2701,229,2684,213,2684,387,2672,449,2638,499,2588,533,2526,545,2495,542,2466,533,2439,519,2414,499,2395,475,2380,448,2371,418,2368,387,2381,326,2415,275,2465,241,2526,229,2588,241,2638,275,2672,326,2684,387,2684,213,2664,193,2600,161,2526,149,2451,161,2386,195,2334,247,2300,312,2288,387,2293,434,2306,478,2328,519,2358,555,2394,585,2435,607,2479,621,2526,625,2571,621,2612,609,2650,590,2684,565,2684,587,2688,602,2697,614,2709,622,2724,625,2740,622,2753,613,2761,601,2764,586,2764,565,2764,545,2764,377m3302,387l3302,377,3302,367,3300,357,3299,347,3277,281,3241,229,3238,225,3217,208,3217,347,2911,347,2932,300,2967,263,3012,238,3064,229,3117,238,3162,263,3196,300,3217,347,3217,208,3185,182,3121,156,3049,149,2981,164,2922,197,2874,244,2841,304,2827,372,2830,430,2847,485,2878,535,2920,576,2944,593,2969,606,2997,616,3025,622,3085,624,3141,612,3192,588,3235,553,3237,551,3242,545,3243,543,3247,534,3247,510,3240,498,3223,486,3216,484,3199,484,3191,486,3185,491,3183,491,3182,492,3180,495,3179,496,3177,497,3176,498,3153,518,3126,533,3096,542,3064,545,3033,542,3004,533,2977,519,2953,499,2939,483,2927,465,2918,447,2911,427,3262,427,3278,424,3290,416,3299,403,3302,387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1AF22EE4">
          <v:group id="_x0000_s1026" style="position:absolute;left:0;text-align:left;margin-left:42.5pt;margin-top:6.1pt;width:38pt;height:38.65pt;z-index:251665408;mso-position-horizontal-relative:page;mso-position-vertical-relative:text" coordorigin="851,122" coordsize="760,7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50;top:214;width:367;height:224">
              <v:imagedata r:id="rId8" o:title=""/>
            </v:shape>
            <v:shape id="_x0000_s1028" type="#_x0000_t75" style="position:absolute;left:852;top:584;width:365;height:220">
              <v:imagedata r:id="rId9" o:title=""/>
            </v:shape>
            <v:shape id="_x0000_s1027" style="position:absolute;left:1147;top:122;width:463;height:773" coordorigin="1148,122" coordsize="463,773" path="m1224,122l1156,132,1148,157,1155,170,1445,461,1449,464,1466,507,1466,516,1448,560,1447,560,1446,561,1445,563,1158,848,1151,860,1152,874,1211,895,1224,895,1302,887,1374,864,1440,829,1497,782,1544,724,1580,659,1602,586,1610,510,1610,507,1602,431,1580,358,1544,292,1497,235,1440,188,1374,152,1302,130,1224,122xe" fillcolor="black" stroked="f">
              <v:path arrowok="t"/>
            </v:shape>
            <w10:wrap anchorx="page"/>
          </v:group>
        </w:pict>
      </w:r>
      <w:r>
        <w:t>Air Park de Paris - 3 Avenue Jeanne Garnerin Bâtiment le Cormoran -</w:t>
      </w:r>
      <w:r>
        <w:br/>
      </w:r>
      <w:bookmarkStart w:id="0" w:name="_GoBack"/>
      <w:bookmarkEnd w:id="0"/>
      <w:r>
        <w:t xml:space="preserve">91320 Wissous, France </w:t>
      </w:r>
      <w:r>
        <w:rPr>
          <w:rFonts w:ascii="Roboto-Black" w:hAnsi="Roboto-Black"/>
          <w:b/>
          <w:color w:val="C1D119"/>
        </w:rPr>
        <w:t xml:space="preserve">Tel </w:t>
      </w:r>
      <w:r>
        <w:t xml:space="preserve">01 69 79 14 </w:t>
      </w:r>
      <w:proofErr w:type="spellStart"/>
      <w:r>
        <w:t>14</w:t>
      </w:r>
      <w:proofErr w:type="spellEnd"/>
      <w:r>
        <w:t xml:space="preserve"> / </w:t>
      </w:r>
      <w:r>
        <w:rPr>
          <w:rFonts w:ascii="Roboto-Black" w:hAnsi="Roboto-Black"/>
          <w:b/>
          <w:color w:val="C1D119"/>
        </w:rPr>
        <w:t xml:space="preserve">Email </w:t>
      </w:r>
      <w:hyperlink r:id="rId10">
        <w:r>
          <w:t>contact@cae-groupe.fr</w:t>
        </w:r>
      </w:hyperlink>
    </w:p>
    <w:p w14:paraId="19CD3EF7" w14:textId="77777777" w:rsidR="003E16E8" w:rsidRDefault="003E16E8">
      <w:pPr>
        <w:pStyle w:val="Corpsdetexte"/>
        <w:spacing w:before="3"/>
        <w:rPr>
          <w:sz w:val="14"/>
        </w:rPr>
      </w:pPr>
    </w:p>
    <w:p w14:paraId="71F5466B" w14:textId="77777777" w:rsidR="003E16E8" w:rsidRDefault="008836B9">
      <w:pPr>
        <w:pStyle w:val="Heading2"/>
        <w:ind w:left="3132"/>
      </w:pPr>
      <w:r>
        <w:rPr>
          <w:color w:val="FFFFFF"/>
          <w:shd w:val="clear" w:color="auto" w:fill="C1D119"/>
        </w:rPr>
        <w:t xml:space="preserve">    </w:t>
      </w:r>
      <w:hyperlink r:id="rId11">
        <w:r>
          <w:rPr>
            <w:color w:val="FFFFFF"/>
            <w:shd w:val="clear" w:color="auto" w:fill="C1D119"/>
          </w:rPr>
          <w:t xml:space="preserve">www.cae-groupe.fr </w:t>
        </w:r>
      </w:hyperlink>
    </w:p>
    <w:p w14:paraId="699B7C04" w14:textId="77777777" w:rsidR="003E16E8" w:rsidRDefault="003E16E8">
      <w:pPr>
        <w:pStyle w:val="Corpsdetexte"/>
        <w:rPr>
          <w:rFonts w:ascii="Roboto-Black"/>
          <w:b/>
          <w:sz w:val="22"/>
        </w:rPr>
      </w:pPr>
    </w:p>
    <w:p w14:paraId="0CF19D1E" w14:textId="77777777" w:rsidR="003E16E8" w:rsidRDefault="008836B9">
      <w:pPr>
        <w:tabs>
          <w:tab w:val="left" w:pos="2562"/>
          <w:tab w:val="left" w:pos="3141"/>
        </w:tabs>
        <w:spacing w:before="168" w:line="587" w:lineRule="exact"/>
        <w:ind w:left="762"/>
        <w:rPr>
          <w:rFonts w:ascii="Roboto-Black" w:hAnsi="Roboto-Black"/>
          <w:b/>
          <w:sz w:val="52"/>
        </w:rPr>
      </w:pPr>
      <w:r>
        <w:rPr>
          <w:rFonts w:ascii="Roboto-Black" w:hAnsi="Roboto-Black"/>
          <w:b/>
          <w:color w:val="FFFFFF"/>
          <w:position w:val="17"/>
          <w:sz w:val="20"/>
          <w:shd w:val="clear" w:color="auto" w:fill="B3B2B2"/>
        </w:rPr>
        <w:t xml:space="preserve">   </w:t>
      </w:r>
      <w:r>
        <w:rPr>
          <w:rFonts w:ascii="Roboto-Black" w:hAnsi="Roboto-Black"/>
          <w:b/>
          <w:color w:val="FFFFFF"/>
          <w:spacing w:val="10"/>
          <w:position w:val="17"/>
          <w:sz w:val="20"/>
          <w:shd w:val="clear" w:color="auto" w:fill="B3B2B2"/>
        </w:rPr>
        <w:t xml:space="preserve"> </w:t>
      </w:r>
      <w:r>
        <w:rPr>
          <w:rFonts w:ascii="Roboto-Black" w:hAnsi="Roboto-Black"/>
          <w:b/>
          <w:color w:val="FFFFFF"/>
          <w:position w:val="17"/>
          <w:sz w:val="20"/>
          <w:shd w:val="clear" w:color="auto" w:fill="B3B2B2"/>
        </w:rPr>
        <w:t>Contact</w:t>
      </w:r>
      <w:r>
        <w:rPr>
          <w:rFonts w:ascii="Roboto-Black" w:hAnsi="Roboto-Black"/>
          <w:b/>
          <w:color w:val="FFFFFF"/>
          <w:spacing w:val="-3"/>
          <w:position w:val="17"/>
          <w:sz w:val="20"/>
          <w:shd w:val="clear" w:color="auto" w:fill="B3B2B2"/>
        </w:rPr>
        <w:t xml:space="preserve"> </w:t>
      </w:r>
      <w:r>
        <w:rPr>
          <w:rFonts w:ascii="Roboto-Black" w:hAnsi="Roboto-Black"/>
          <w:b/>
          <w:color w:val="FFFFFF"/>
          <w:position w:val="17"/>
          <w:sz w:val="20"/>
          <w:shd w:val="clear" w:color="auto" w:fill="B3B2B2"/>
        </w:rPr>
        <w:t>Presse</w:t>
      </w:r>
      <w:r>
        <w:rPr>
          <w:rFonts w:ascii="Roboto-Black" w:hAnsi="Roboto-Black"/>
          <w:b/>
          <w:color w:val="FFFFFF"/>
          <w:position w:val="17"/>
          <w:sz w:val="20"/>
          <w:shd w:val="clear" w:color="auto" w:fill="B3B2B2"/>
        </w:rPr>
        <w:tab/>
      </w:r>
      <w:r>
        <w:rPr>
          <w:rFonts w:ascii="Roboto-Black" w:hAnsi="Roboto-Black"/>
          <w:b/>
          <w:color w:val="FFFFFF"/>
          <w:position w:val="17"/>
          <w:sz w:val="20"/>
          <w:shd w:val="clear" w:color="auto" w:fill="FFFFFF"/>
        </w:rPr>
        <w:tab/>
      </w:r>
      <w:r w:rsidRPr="008836B9">
        <w:rPr>
          <w:rFonts w:ascii="Roboto-Black" w:hAnsi="Roboto-Black"/>
          <w:b/>
          <w:color w:val="C1D119"/>
          <w:spacing w:val="16"/>
          <w:sz w:val="40"/>
          <w:szCs w:val="40"/>
          <w:shd w:val="clear" w:color="auto" w:fill="FFFFFF"/>
        </w:rPr>
        <w:t xml:space="preserve">COMMUNIQUÉ </w:t>
      </w:r>
      <w:r w:rsidRPr="008836B9">
        <w:rPr>
          <w:rFonts w:ascii="Roboto-Black" w:hAnsi="Roboto-Black"/>
          <w:b/>
          <w:color w:val="C1D119"/>
          <w:spacing w:val="9"/>
          <w:sz w:val="40"/>
          <w:szCs w:val="40"/>
          <w:shd w:val="clear" w:color="auto" w:fill="FFFFFF"/>
        </w:rPr>
        <w:t>DE</w:t>
      </w:r>
      <w:r w:rsidRPr="008836B9">
        <w:rPr>
          <w:rFonts w:ascii="Roboto-Black" w:hAnsi="Roboto-Black"/>
          <w:b/>
          <w:color w:val="C1D119"/>
          <w:spacing w:val="20"/>
          <w:sz w:val="40"/>
          <w:szCs w:val="40"/>
          <w:shd w:val="clear" w:color="auto" w:fill="FFFFFF"/>
        </w:rPr>
        <w:t xml:space="preserve"> </w:t>
      </w:r>
      <w:r w:rsidRPr="008836B9">
        <w:rPr>
          <w:rFonts w:ascii="Roboto-Black" w:hAnsi="Roboto-Black"/>
          <w:b/>
          <w:color w:val="C1D119"/>
          <w:spacing w:val="18"/>
          <w:sz w:val="40"/>
          <w:szCs w:val="40"/>
          <w:shd w:val="clear" w:color="auto" w:fill="FFFFFF"/>
        </w:rPr>
        <w:t>PRESSE</w:t>
      </w:r>
    </w:p>
    <w:p w14:paraId="2C253E73" w14:textId="77777777" w:rsidR="003E16E8" w:rsidRDefault="008836B9">
      <w:pPr>
        <w:pStyle w:val="Corpsdetexte"/>
        <w:spacing w:line="203" w:lineRule="exact"/>
        <w:ind w:left="1186"/>
      </w:pPr>
      <w:r>
        <w:t>Alexandra Léon</w:t>
      </w:r>
    </w:p>
    <w:p w14:paraId="2BD97E3F" w14:textId="77777777" w:rsidR="003E16E8" w:rsidRDefault="003E16E8">
      <w:pPr>
        <w:spacing w:line="203" w:lineRule="exact"/>
        <w:sectPr w:rsidR="003E16E8">
          <w:type w:val="continuous"/>
          <w:pgSz w:w="11910" w:h="16840"/>
          <w:pgMar w:top="580" w:right="740" w:bottom="280" w:left="740" w:header="720" w:footer="720" w:gutter="0"/>
          <w:cols w:space="720"/>
        </w:sectPr>
      </w:pPr>
    </w:p>
    <w:p w14:paraId="51CD00C4" w14:textId="77777777" w:rsidR="003E16E8" w:rsidRDefault="008836B9">
      <w:pPr>
        <w:pStyle w:val="Corpsdetexte"/>
        <w:jc w:val="right"/>
      </w:pPr>
      <w:r>
        <w:lastRenderedPageBreak/>
        <w:t>06 60 93 29 37</w:t>
      </w:r>
    </w:p>
    <w:p w14:paraId="40A33CCA" w14:textId="77777777" w:rsidR="003E16E8" w:rsidRDefault="008836B9">
      <w:pPr>
        <w:pStyle w:val="Corpsdetexte"/>
        <w:jc w:val="right"/>
      </w:pPr>
      <w:hyperlink r:id="rId12">
        <w:r>
          <w:rPr>
            <w:spacing w:val="-1"/>
          </w:rPr>
          <w:t>a.leon@avvia.eu</w:t>
        </w:r>
      </w:hyperlink>
    </w:p>
    <w:p w14:paraId="515FE633" w14:textId="77777777" w:rsidR="003E16E8" w:rsidRDefault="008836B9" w:rsidP="008836B9">
      <w:pPr>
        <w:pStyle w:val="Corpsdetexte"/>
        <w:spacing w:before="74"/>
        <w:ind w:left="993"/>
      </w:pPr>
      <w:r>
        <w:br w:type="column"/>
      </w:r>
      <w:r>
        <w:lastRenderedPageBreak/>
        <w:t>Février 2020</w:t>
      </w:r>
    </w:p>
    <w:p w14:paraId="670F240B" w14:textId="77777777" w:rsidR="003E16E8" w:rsidRDefault="003E16E8">
      <w:pPr>
        <w:sectPr w:rsidR="003E16E8">
          <w:type w:val="continuous"/>
          <w:pgSz w:w="11910" w:h="16840"/>
          <w:pgMar w:top="580" w:right="740" w:bottom="280" w:left="740" w:header="720" w:footer="720" w:gutter="0"/>
          <w:cols w:num="2" w:space="720" w:equalWidth="0">
            <w:col w:w="2565" w:space="40"/>
            <w:col w:w="7825"/>
          </w:cols>
        </w:sectPr>
      </w:pPr>
    </w:p>
    <w:p w14:paraId="4AE69AF4" w14:textId="77777777" w:rsidR="003E16E8" w:rsidRDefault="003E16E8">
      <w:pPr>
        <w:pStyle w:val="Corpsdetexte"/>
      </w:pPr>
    </w:p>
    <w:p w14:paraId="0BD35E22" w14:textId="77777777" w:rsidR="003E16E8" w:rsidRDefault="003E16E8">
      <w:pPr>
        <w:pStyle w:val="Corpsdetexte"/>
      </w:pPr>
    </w:p>
    <w:p w14:paraId="46CEE983" w14:textId="77777777" w:rsidR="003E16E8" w:rsidRDefault="003E16E8">
      <w:pPr>
        <w:pStyle w:val="Corpsdetexte"/>
        <w:spacing w:before="8"/>
        <w:rPr>
          <w:sz w:val="15"/>
        </w:rPr>
      </w:pPr>
    </w:p>
    <w:p w14:paraId="0AE1120C" w14:textId="77777777" w:rsidR="003E16E8" w:rsidRDefault="008836B9">
      <w:pPr>
        <w:pStyle w:val="Heading1"/>
        <w:spacing w:before="92"/>
        <w:ind w:right="102"/>
      </w:pPr>
      <w:r>
        <w:t>CAE</w:t>
      </w:r>
      <w:r>
        <w:rPr>
          <w:spacing w:val="-13"/>
        </w:rPr>
        <w:t xml:space="preserve"> </w:t>
      </w:r>
      <w:r>
        <w:t>GROUPE,</w:t>
      </w:r>
      <w:r>
        <w:rPr>
          <w:spacing w:val="-12"/>
        </w:rPr>
        <w:t xml:space="preserve"> </w:t>
      </w:r>
      <w:r>
        <w:t>lance</w:t>
      </w:r>
      <w:r>
        <w:rPr>
          <w:spacing w:val="-13"/>
        </w:rPr>
        <w:t xml:space="preserve"> </w:t>
      </w:r>
      <w:r>
        <w:t>sa</w:t>
      </w:r>
      <w:r>
        <w:rPr>
          <w:spacing w:val="-12"/>
        </w:rPr>
        <w:t xml:space="preserve"> </w:t>
      </w:r>
      <w:r>
        <w:t>gamme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connectique</w:t>
      </w:r>
      <w:r>
        <w:rPr>
          <w:spacing w:val="-13"/>
        </w:rPr>
        <w:t xml:space="preserve"> </w:t>
      </w:r>
      <w:r>
        <w:t>I4</w:t>
      </w:r>
      <w:r>
        <w:rPr>
          <w:spacing w:val="-12"/>
        </w:rPr>
        <w:t xml:space="preserve"> </w:t>
      </w:r>
      <w:r>
        <w:t>certifiée</w:t>
      </w:r>
      <w:r>
        <w:rPr>
          <w:spacing w:val="-13"/>
        </w:rPr>
        <w:t xml:space="preserve"> </w:t>
      </w:r>
      <w:r>
        <w:t>IP67 ou IP68 dédiée à l’Industrie</w:t>
      </w:r>
      <w:r>
        <w:rPr>
          <w:spacing w:val="-1"/>
        </w:rPr>
        <w:t xml:space="preserve"> </w:t>
      </w:r>
      <w:r>
        <w:t>4.0.</w:t>
      </w:r>
    </w:p>
    <w:p w14:paraId="777E0676" w14:textId="77777777" w:rsidR="003E16E8" w:rsidRDefault="008836B9">
      <w:pPr>
        <w:ind w:left="110" w:right="98"/>
        <w:jc w:val="both"/>
        <w:rPr>
          <w:rFonts w:ascii="Roboto-Black" w:hAnsi="Roboto-Black"/>
          <w:b/>
          <w:sz w:val="36"/>
        </w:rPr>
      </w:pPr>
      <w:r>
        <w:rPr>
          <w:rFonts w:ascii="Roboto-Black" w:hAnsi="Roboto-Black"/>
          <w:b/>
          <w:sz w:val="36"/>
        </w:rPr>
        <w:t>Ces nouveaux connecteurs viennent compléter l’offre déjà disponible de câbles polyuréthane et produits actifs.</w:t>
      </w:r>
    </w:p>
    <w:p w14:paraId="38CACE3C" w14:textId="77777777" w:rsidR="003E16E8" w:rsidRDefault="003E16E8">
      <w:pPr>
        <w:pStyle w:val="Corpsdetexte"/>
        <w:spacing w:before="1"/>
        <w:rPr>
          <w:rFonts w:ascii="Roboto-Black"/>
          <w:b/>
          <w:sz w:val="37"/>
        </w:rPr>
      </w:pPr>
    </w:p>
    <w:p w14:paraId="5756A6E4" w14:textId="77777777" w:rsidR="003E16E8" w:rsidRDefault="008836B9">
      <w:pPr>
        <w:ind w:left="110" w:right="101"/>
        <w:jc w:val="both"/>
        <w:rPr>
          <w:rFonts w:ascii="Roboto-Black" w:hAnsi="Roboto-Black"/>
          <w:b/>
        </w:rPr>
      </w:pPr>
      <w:r>
        <w:rPr>
          <w:rFonts w:ascii="Roboto-Black" w:hAnsi="Roboto-Black"/>
          <w:b/>
        </w:rPr>
        <w:t xml:space="preserve">CAE GROUPE présente sa nouvelle gamme de connectique, I4, dédiée à l’industrie 4.0, composée      de connecteurs RJ45 Catégorie 6A, de </w:t>
      </w:r>
      <w:proofErr w:type="spellStart"/>
      <w:r>
        <w:rPr>
          <w:rFonts w:ascii="Roboto-Black" w:hAnsi="Roboto-Black"/>
          <w:b/>
        </w:rPr>
        <w:t>plugs</w:t>
      </w:r>
      <w:proofErr w:type="spellEnd"/>
      <w:r>
        <w:rPr>
          <w:rFonts w:ascii="Roboto-Black" w:hAnsi="Roboto-Black"/>
          <w:b/>
        </w:rPr>
        <w:t>, coupleurs et boîtiers étanches. Cœur du système, le connecteur RJ45 Catégorie 6A, offre un débit de 10 Gigabits, e</w:t>
      </w:r>
      <w:r>
        <w:rPr>
          <w:rFonts w:ascii="Roboto-Black" w:hAnsi="Roboto-Black"/>
          <w:b/>
        </w:rPr>
        <w:t>t une excellente protection contre les perturbations électromagnétiques grâce à un blindage 360° en</w:t>
      </w:r>
      <w:r>
        <w:rPr>
          <w:rFonts w:ascii="Roboto-Black" w:hAnsi="Roboto-Black"/>
          <w:b/>
          <w:spacing w:val="-6"/>
        </w:rPr>
        <w:t xml:space="preserve"> </w:t>
      </w:r>
      <w:proofErr w:type="spellStart"/>
      <w:r>
        <w:rPr>
          <w:rFonts w:ascii="Roboto-Black" w:hAnsi="Roboto-Black"/>
          <w:b/>
        </w:rPr>
        <w:t>Zamac</w:t>
      </w:r>
      <w:proofErr w:type="spellEnd"/>
      <w:r>
        <w:rPr>
          <w:rFonts w:ascii="Roboto-Black" w:hAnsi="Roboto-Black"/>
          <w:b/>
        </w:rPr>
        <w:t>.</w:t>
      </w:r>
    </w:p>
    <w:p w14:paraId="324D6387" w14:textId="77777777" w:rsidR="003E16E8" w:rsidRDefault="003E16E8">
      <w:pPr>
        <w:pStyle w:val="Corpsdetexte"/>
        <w:rPr>
          <w:rFonts w:ascii="Roboto-Black"/>
          <w:b/>
          <w:sz w:val="22"/>
        </w:rPr>
      </w:pPr>
    </w:p>
    <w:p w14:paraId="5DEFFEB1" w14:textId="77777777" w:rsidR="003E16E8" w:rsidRDefault="008836B9">
      <w:pPr>
        <w:ind w:left="110" w:right="112"/>
        <w:jc w:val="both"/>
      </w:pPr>
      <w:r>
        <w:t xml:space="preserve">Avec cette nouveauté, CAE GROUPE propose désormais une gamme complète composée de câbles </w:t>
      </w:r>
      <w:proofErr w:type="spellStart"/>
      <w:r>
        <w:t>Polyutréthane</w:t>
      </w:r>
      <w:proofErr w:type="spellEnd"/>
      <w:r>
        <w:t>, de connectique et de produits actifs, pour une réponse complète aux besoins de tous les environnements industriels.</w:t>
      </w:r>
    </w:p>
    <w:p w14:paraId="5B0AC589" w14:textId="77777777" w:rsidR="003E16E8" w:rsidRDefault="003E16E8">
      <w:pPr>
        <w:pStyle w:val="Corpsdetexte"/>
        <w:rPr>
          <w:sz w:val="26"/>
        </w:rPr>
      </w:pPr>
    </w:p>
    <w:p w14:paraId="4748EE90" w14:textId="77777777" w:rsidR="003E16E8" w:rsidRDefault="008836B9">
      <w:pPr>
        <w:pStyle w:val="Heading2"/>
        <w:spacing w:before="163"/>
        <w:jc w:val="both"/>
      </w:pPr>
      <w:r>
        <w:t>Détails de la gamme Industrie 4.0 d</w:t>
      </w:r>
      <w:r>
        <w:t>e CAE GROUPE</w:t>
      </w:r>
    </w:p>
    <w:p w14:paraId="53F4E354" w14:textId="77777777" w:rsidR="003E16E8" w:rsidRDefault="003E16E8">
      <w:pPr>
        <w:pStyle w:val="Corpsdetexte"/>
        <w:spacing w:before="11"/>
        <w:rPr>
          <w:rFonts w:ascii="Roboto-Black"/>
          <w:b/>
          <w:sz w:val="19"/>
        </w:rPr>
      </w:pPr>
    </w:p>
    <w:p w14:paraId="74C1DF42" w14:textId="77777777" w:rsidR="003E16E8" w:rsidRDefault="008836B9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spacing w:before="1"/>
        <w:ind w:hanging="361"/>
        <w:rPr>
          <w:sz w:val="20"/>
        </w:rPr>
      </w:pPr>
      <w:r>
        <w:rPr>
          <w:sz w:val="20"/>
        </w:rPr>
        <w:t>Connecteur RJ45 Cat6A blindé</w:t>
      </w:r>
      <w:r>
        <w:rPr>
          <w:spacing w:val="-1"/>
          <w:sz w:val="20"/>
        </w:rPr>
        <w:t xml:space="preserve"> </w:t>
      </w:r>
      <w:r>
        <w:rPr>
          <w:sz w:val="20"/>
        </w:rPr>
        <w:t>IP68</w:t>
      </w:r>
    </w:p>
    <w:p w14:paraId="4C9EEDB2" w14:textId="77777777" w:rsidR="003E16E8" w:rsidRDefault="008836B9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sz w:val="20"/>
        </w:rPr>
      </w:pPr>
      <w:r>
        <w:rPr>
          <w:sz w:val="20"/>
        </w:rPr>
        <w:t>Plug RJ45 Cat6A IP68 blindé</w:t>
      </w:r>
    </w:p>
    <w:p w14:paraId="0811B649" w14:textId="77777777" w:rsidR="003E16E8" w:rsidRDefault="008836B9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sz w:val="20"/>
        </w:rPr>
      </w:pPr>
      <w:r>
        <w:rPr>
          <w:sz w:val="20"/>
        </w:rPr>
        <w:t>Coupleur RJ45 Cat6A femelle - femelle blindé</w:t>
      </w:r>
      <w:r>
        <w:rPr>
          <w:spacing w:val="-1"/>
          <w:sz w:val="20"/>
        </w:rPr>
        <w:t xml:space="preserve"> </w:t>
      </w:r>
      <w:r>
        <w:rPr>
          <w:sz w:val="20"/>
        </w:rPr>
        <w:t>IP68</w:t>
      </w:r>
    </w:p>
    <w:p w14:paraId="2A8AC239" w14:textId="77777777" w:rsidR="003E16E8" w:rsidRDefault="008836B9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sz w:val="20"/>
        </w:rPr>
      </w:pPr>
      <w:r>
        <w:rPr>
          <w:sz w:val="20"/>
        </w:rPr>
        <w:t>Bouchon</w:t>
      </w:r>
      <w:r>
        <w:rPr>
          <w:spacing w:val="-1"/>
          <w:sz w:val="20"/>
        </w:rPr>
        <w:t xml:space="preserve"> </w:t>
      </w:r>
      <w:r>
        <w:rPr>
          <w:sz w:val="20"/>
        </w:rPr>
        <w:t>d’étanchéité</w:t>
      </w:r>
    </w:p>
    <w:p w14:paraId="2849C4EC" w14:textId="77777777" w:rsidR="003E16E8" w:rsidRDefault="008836B9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sz w:val="20"/>
        </w:rPr>
      </w:pPr>
      <w:r>
        <w:rPr>
          <w:sz w:val="20"/>
        </w:rPr>
        <w:t>Boîtier IP67 1 ou 2</w:t>
      </w:r>
      <w:r>
        <w:rPr>
          <w:spacing w:val="-2"/>
          <w:sz w:val="20"/>
        </w:rPr>
        <w:t xml:space="preserve"> </w:t>
      </w:r>
      <w:r>
        <w:rPr>
          <w:sz w:val="20"/>
        </w:rPr>
        <w:t>connecteur(s)</w:t>
      </w:r>
    </w:p>
    <w:p w14:paraId="31145EC3" w14:textId="77777777" w:rsidR="003E16E8" w:rsidRDefault="008836B9">
      <w:pPr>
        <w:pStyle w:val="Paragraphedeliste"/>
        <w:numPr>
          <w:ilvl w:val="0"/>
          <w:numId w:val="1"/>
        </w:numPr>
        <w:tabs>
          <w:tab w:val="left" w:pos="471"/>
        </w:tabs>
        <w:ind w:right="109"/>
        <w:jc w:val="both"/>
        <w:rPr>
          <w:sz w:val="20"/>
        </w:rPr>
      </w:pPr>
      <w:r>
        <w:rPr>
          <w:sz w:val="20"/>
        </w:rPr>
        <w:t>Les câbles LAN gaine polyuréthane résistants aux agressions chimiques (grai</w:t>
      </w:r>
      <w:r>
        <w:rPr>
          <w:sz w:val="20"/>
        </w:rPr>
        <w:t xml:space="preserve">sses, lubrifiants, huiles) et mécaniques, ainsi qu’aux </w:t>
      </w:r>
      <w:r>
        <w:rPr>
          <w:spacing w:val="-8"/>
          <w:sz w:val="20"/>
        </w:rPr>
        <w:t xml:space="preserve">UV. </w:t>
      </w:r>
      <w:r>
        <w:rPr>
          <w:sz w:val="20"/>
        </w:rPr>
        <w:t>Protection CEM élevée grâce à un double blindage SF/UTP pour la Cat5e et  S/FTP pour la</w:t>
      </w:r>
      <w:r>
        <w:rPr>
          <w:spacing w:val="-1"/>
          <w:sz w:val="20"/>
        </w:rPr>
        <w:t xml:space="preserve"> </w:t>
      </w:r>
      <w:r>
        <w:rPr>
          <w:sz w:val="20"/>
        </w:rPr>
        <w:t>Cat7</w:t>
      </w:r>
    </w:p>
    <w:p w14:paraId="75842E30" w14:textId="77777777" w:rsidR="003E16E8" w:rsidRDefault="008836B9">
      <w:pPr>
        <w:pStyle w:val="Paragraphedeliste"/>
        <w:numPr>
          <w:ilvl w:val="0"/>
          <w:numId w:val="1"/>
        </w:numPr>
        <w:tabs>
          <w:tab w:val="left" w:pos="471"/>
        </w:tabs>
        <w:ind w:right="106" w:hanging="361"/>
        <w:jc w:val="both"/>
        <w:rPr>
          <w:sz w:val="20"/>
        </w:rPr>
      </w:pPr>
      <w:r>
        <w:rPr>
          <w:sz w:val="20"/>
        </w:rPr>
        <w:t>Produits</w:t>
      </w:r>
      <w:r>
        <w:rPr>
          <w:spacing w:val="-5"/>
          <w:sz w:val="20"/>
        </w:rPr>
        <w:t xml:space="preserve"> </w:t>
      </w:r>
      <w:r>
        <w:rPr>
          <w:sz w:val="20"/>
        </w:rPr>
        <w:t>actifs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LevelOne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offrant</w:t>
      </w:r>
      <w:r>
        <w:rPr>
          <w:spacing w:val="-5"/>
          <w:sz w:val="20"/>
        </w:rPr>
        <w:t xml:space="preserve"> </w:t>
      </w:r>
      <w:r>
        <w:rPr>
          <w:sz w:val="20"/>
        </w:rPr>
        <w:t>une</w:t>
      </w:r>
      <w:r>
        <w:rPr>
          <w:spacing w:val="-4"/>
          <w:sz w:val="20"/>
        </w:rPr>
        <w:t xml:space="preserve"> </w:t>
      </w:r>
      <w:r>
        <w:rPr>
          <w:sz w:val="20"/>
        </w:rPr>
        <w:t>compatibilité</w:t>
      </w:r>
      <w:r>
        <w:rPr>
          <w:spacing w:val="-5"/>
          <w:sz w:val="20"/>
        </w:rPr>
        <w:t xml:space="preserve"> </w:t>
      </w:r>
      <w:r>
        <w:rPr>
          <w:sz w:val="20"/>
        </w:rPr>
        <w:t>rail</w:t>
      </w:r>
      <w:r>
        <w:rPr>
          <w:spacing w:val="2"/>
          <w:sz w:val="20"/>
        </w:rPr>
        <w:t xml:space="preserve"> </w:t>
      </w:r>
      <w:r>
        <w:rPr>
          <w:spacing w:val="4"/>
          <w:sz w:val="20"/>
        </w:rPr>
        <w:t>DIN</w:t>
      </w:r>
      <w:r>
        <w:rPr>
          <w:spacing w:val="-1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une</w:t>
      </w:r>
      <w:r>
        <w:rPr>
          <w:spacing w:val="-5"/>
          <w:sz w:val="20"/>
        </w:rPr>
        <w:t xml:space="preserve"> </w:t>
      </w:r>
      <w:r>
        <w:rPr>
          <w:sz w:val="20"/>
        </w:rPr>
        <w:t>résistance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l’immersion.</w:t>
      </w:r>
      <w:r>
        <w:rPr>
          <w:spacing w:val="-5"/>
          <w:sz w:val="20"/>
        </w:rPr>
        <w:t xml:space="preserve"> </w:t>
      </w:r>
      <w:r>
        <w:rPr>
          <w:sz w:val="20"/>
        </w:rPr>
        <w:t>Certains</w:t>
      </w:r>
      <w:r>
        <w:rPr>
          <w:spacing w:val="-4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roduits</w:t>
      </w:r>
      <w:r>
        <w:rPr>
          <w:spacing w:val="-5"/>
          <w:sz w:val="20"/>
        </w:rPr>
        <w:t xml:space="preserve"> </w:t>
      </w:r>
      <w:r>
        <w:rPr>
          <w:sz w:val="20"/>
        </w:rPr>
        <w:t>de la</w:t>
      </w:r>
      <w:r>
        <w:rPr>
          <w:spacing w:val="-5"/>
          <w:sz w:val="20"/>
        </w:rPr>
        <w:t xml:space="preserve"> </w:t>
      </w:r>
      <w:r>
        <w:rPr>
          <w:sz w:val="20"/>
        </w:rPr>
        <w:t>gamme</w:t>
      </w:r>
      <w:r>
        <w:rPr>
          <w:spacing w:val="-4"/>
          <w:sz w:val="20"/>
        </w:rPr>
        <w:t xml:space="preserve"> </w:t>
      </w:r>
      <w:r>
        <w:rPr>
          <w:sz w:val="20"/>
        </w:rPr>
        <w:t>sont</w:t>
      </w:r>
      <w:r>
        <w:rPr>
          <w:spacing w:val="-5"/>
          <w:sz w:val="20"/>
        </w:rPr>
        <w:t xml:space="preserve"> </w:t>
      </w:r>
      <w:r>
        <w:rPr>
          <w:sz w:val="20"/>
        </w:rPr>
        <w:t>équipés</w:t>
      </w:r>
      <w:r>
        <w:rPr>
          <w:spacing w:val="-5"/>
          <w:sz w:val="20"/>
        </w:rPr>
        <w:t xml:space="preserve"> </w:t>
      </w:r>
      <w:r>
        <w:rPr>
          <w:sz w:val="20"/>
        </w:rPr>
        <w:t>d’une</w:t>
      </w:r>
      <w:r>
        <w:rPr>
          <w:spacing w:val="-5"/>
          <w:sz w:val="20"/>
        </w:rPr>
        <w:t xml:space="preserve"> </w:t>
      </w:r>
      <w:r>
        <w:rPr>
          <w:sz w:val="20"/>
        </w:rPr>
        <w:t>fréquence</w:t>
      </w:r>
      <w:r>
        <w:rPr>
          <w:spacing w:val="-4"/>
          <w:sz w:val="20"/>
        </w:rPr>
        <w:t xml:space="preserve"> </w:t>
      </w:r>
      <w:r>
        <w:rPr>
          <w:sz w:val="20"/>
        </w:rPr>
        <w:t>bi-bande,</w:t>
      </w:r>
      <w:r>
        <w:rPr>
          <w:spacing w:val="-5"/>
          <w:sz w:val="20"/>
        </w:rPr>
        <w:t xml:space="preserve"> </w:t>
      </w:r>
      <w:r>
        <w:rPr>
          <w:sz w:val="20"/>
        </w:rPr>
        <w:t>avec</w:t>
      </w:r>
      <w:r>
        <w:rPr>
          <w:spacing w:val="-4"/>
          <w:sz w:val="20"/>
        </w:rPr>
        <w:t xml:space="preserve"> </w:t>
      </w:r>
      <w:r>
        <w:rPr>
          <w:sz w:val="20"/>
        </w:rPr>
        <w:t>gestion</w:t>
      </w:r>
      <w:r>
        <w:rPr>
          <w:spacing w:val="-5"/>
          <w:sz w:val="20"/>
        </w:rPr>
        <w:t xml:space="preserve"> </w:t>
      </w:r>
      <w:r>
        <w:rPr>
          <w:sz w:val="20"/>
        </w:rPr>
        <w:t>automatique</w:t>
      </w:r>
      <w:r>
        <w:rPr>
          <w:spacing w:val="-5"/>
          <w:sz w:val="20"/>
        </w:rPr>
        <w:t xml:space="preserve"> </w:t>
      </w:r>
      <w:r>
        <w:rPr>
          <w:sz w:val="20"/>
        </w:rPr>
        <w:t>des</w:t>
      </w:r>
      <w:r>
        <w:rPr>
          <w:spacing w:val="-5"/>
          <w:sz w:val="20"/>
        </w:rPr>
        <w:t xml:space="preserve"> </w:t>
      </w:r>
      <w:r>
        <w:rPr>
          <w:sz w:val="20"/>
        </w:rPr>
        <w:t>bandes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fréquence</w:t>
      </w:r>
      <w:r>
        <w:rPr>
          <w:spacing w:val="-4"/>
          <w:sz w:val="20"/>
        </w:rPr>
        <w:t xml:space="preserve"> </w:t>
      </w:r>
      <w:r>
        <w:rPr>
          <w:sz w:val="20"/>
        </w:rPr>
        <w:t>pour</w:t>
      </w:r>
      <w:r>
        <w:rPr>
          <w:spacing w:val="-4"/>
          <w:sz w:val="20"/>
        </w:rPr>
        <w:t xml:space="preserve"> </w:t>
      </w:r>
      <w:r>
        <w:rPr>
          <w:sz w:val="20"/>
        </w:rPr>
        <w:t>une meilleure réception du signal</w:t>
      </w:r>
      <w:r>
        <w:rPr>
          <w:spacing w:val="-1"/>
          <w:sz w:val="20"/>
        </w:rPr>
        <w:t xml:space="preserve"> </w:t>
      </w:r>
      <w:r>
        <w:rPr>
          <w:sz w:val="20"/>
        </w:rPr>
        <w:t>Wi-Fi</w:t>
      </w:r>
    </w:p>
    <w:p w14:paraId="6AECCEFC" w14:textId="77777777" w:rsidR="003E16E8" w:rsidRDefault="003E16E8">
      <w:pPr>
        <w:pStyle w:val="Corpsdetexte"/>
        <w:rPr>
          <w:sz w:val="22"/>
        </w:rPr>
      </w:pPr>
    </w:p>
    <w:p w14:paraId="19CD9AF3" w14:textId="77777777" w:rsidR="003E16E8" w:rsidRDefault="003E16E8">
      <w:pPr>
        <w:pStyle w:val="Corpsdetexte"/>
        <w:rPr>
          <w:sz w:val="22"/>
        </w:rPr>
      </w:pPr>
    </w:p>
    <w:p w14:paraId="7FBE2A6D" w14:textId="77777777" w:rsidR="003E16E8" w:rsidRDefault="008836B9">
      <w:pPr>
        <w:spacing w:before="162"/>
        <w:ind w:left="110"/>
        <w:jc w:val="both"/>
        <w:rPr>
          <w:rFonts w:ascii="Roboto-Black" w:hAnsi="Roboto-Black"/>
          <w:b/>
          <w:sz w:val="18"/>
        </w:rPr>
      </w:pPr>
      <w:r>
        <w:rPr>
          <w:rFonts w:ascii="Roboto-Black" w:hAnsi="Roboto-Black"/>
          <w:b/>
          <w:color w:val="575756"/>
          <w:sz w:val="18"/>
        </w:rPr>
        <w:t>Photos : Disponibles en téléchargement sur</w:t>
      </w:r>
      <w:hyperlink r:id="rId13">
        <w:r>
          <w:rPr>
            <w:rFonts w:ascii="Roboto-Black" w:hAnsi="Roboto-Black"/>
            <w:b/>
            <w:color w:val="575756"/>
            <w:sz w:val="18"/>
          </w:rPr>
          <w:t xml:space="preserve"> www.cae-groupe.fr </w:t>
        </w:r>
      </w:hyperlink>
      <w:r>
        <w:rPr>
          <w:rFonts w:ascii="Roboto-Black" w:hAnsi="Roboto-Black"/>
          <w:b/>
          <w:color w:val="575756"/>
          <w:sz w:val="18"/>
        </w:rPr>
        <w:t>- Espace Presse – Communiqués de presse</w:t>
      </w:r>
    </w:p>
    <w:p w14:paraId="3D6E82BF" w14:textId="77777777" w:rsidR="003E16E8" w:rsidRDefault="008836B9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color w:val="575756"/>
          <w:sz w:val="18"/>
        </w:rPr>
      </w:pPr>
      <w:r>
        <w:rPr>
          <w:color w:val="575756"/>
          <w:sz w:val="18"/>
        </w:rPr>
        <w:t>logo_CAEGROUPE.jpg</w:t>
      </w:r>
    </w:p>
    <w:p w14:paraId="539AA9A2" w14:textId="77777777" w:rsidR="003E16E8" w:rsidRDefault="008836B9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color w:val="575756"/>
          <w:sz w:val="18"/>
        </w:rPr>
      </w:pPr>
      <w:r>
        <w:rPr>
          <w:color w:val="575756"/>
          <w:sz w:val="18"/>
        </w:rPr>
        <w:t>connecteur_i4.jpg</w:t>
      </w:r>
    </w:p>
    <w:p w14:paraId="6F6A9A4B" w14:textId="77777777" w:rsidR="003E16E8" w:rsidRDefault="008836B9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color w:val="575756"/>
          <w:sz w:val="18"/>
        </w:rPr>
      </w:pPr>
      <w:r>
        <w:rPr>
          <w:color w:val="575756"/>
          <w:sz w:val="18"/>
        </w:rPr>
        <w:t>plug_i4.jpg</w:t>
      </w:r>
    </w:p>
    <w:p w14:paraId="67AE2568" w14:textId="77777777" w:rsidR="003E16E8" w:rsidRDefault="008836B9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color w:val="575756"/>
          <w:sz w:val="18"/>
        </w:rPr>
      </w:pPr>
      <w:r>
        <w:rPr>
          <w:color w:val="575756"/>
          <w:sz w:val="18"/>
        </w:rPr>
        <w:t>boitier_i4.jpg</w:t>
      </w:r>
    </w:p>
    <w:p w14:paraId="1EDDF1DB" w14:textId="77777777" w:rsidR="003E16E8" w:rsidRDefault="003E16E8">
      <w:pPr>
        <w:pStyle w:val="Corpsdetexte"/>
      </w:pPr>
    </w:p>
    <w:p w14:paraId="439427B0" w14:textId="77777777" w:rsidR="003E16E8" w:rsidRDefault="003E16E8">
      <w:pPr>
        <w:pStyle w:val="Corpsdetexte"/>
        <w:spacing w:before="2"/>
        <w:rPr>
          <w:sz w:val="22"/>
        </w:rPr>
      </w:pPr>
    </w:p>
    <w:p w14:paraId="25C36F91" w14:textId="77777777" w:rsidR="003E16E8" w:rsidRDefault="008836B9">
      <w:pPr>
        <w:ind w:left="110"/>
        <w:jc w:val="both"/>
        <w:rPr>
          <w:rFonts w:ascii="Roboto-Black" w:hAnsi="Roboto-Black"/>
          <w:b/>
          <w:sz w:val="16"/>
        </w:rPr>
      </w:pPr>
      <w:r>
        <w:rPr>
          <w:rFonts w:ascii="Roboto-Black" w:hAnsi="Roboto-Black"/>
          <w:b/>
          <w:sz w:val="16"/>
        </w:rPr>
        <w:t>À propos de CAE</w:t>
      </w:r>
      <w:r>
        <w:rPr>
          <w:rFonts w:ascii="Roboto-Black" w:hAnsi="Roboto-Black"/>
          <w:b/>
          <w:spacing w:val="-7"/>
          <w:sz w:val="16"/>
        </w:rPr>
        <w:t xml:space="preserve"> </w:t>
      </w:r>
      <w:r>
        <w:rPr>
          <w:rFonts w:ascii="Roboto-Black" w:hAnsi="Roboto-Black"/>
          <w:b/>
          <w:sz w:val="16"/>
        </w:rPr>
        <w:t>GROUPE</w:t>
      </w:r>
    </w:p>
    <w:p w14:paraId="559BE557" w14:textId="77777777" w:rsidR="003E16E8" w:rsidRDefault="003E16E8">
      <w:pPr>
        <w:pStyle w:val="Corpsdetexte"/>
        <w:spacing w:before="11"/>
        <w:rPr>
          <w:rFonts w:ascii="Roboto-Black"/>
          <w:b/>
          <w:sz w:val="15"/>
        </w:rPr>
      </w:pPr>
    </w:p>
    <w:p w14:paraId="58BA2860" w14:textId="77777777" w:rsidR="003E16E8" w:rsidRDefault="008836B9">
      <w:pPr>
        <w:spacing w:before="1"/>
        <w:ind w:left="110" w:right="109"/>
        <w:jc w:val="both"/>
        <w:rPr>
          <w:sz w:val="16"/>
        </w:rPr>
      </w:pPr>
      <w:r>
        <w:rPr>
          <w:sz w:val="16"/>
        </w:rPr>
        <w:t>Depuis sa création en 1987, CAE GROUPE a développé et organisé son offre pour proposer des solutions globales de câblage, de connectivité et de communication, qui répondent à trois principaux marchés : le Smart Building, l’Industrie et le Live (Audio Vidéo</w:t>
      </w:r>
      <w:r>
        <w:rPr>
          <w:sz w:val="16"/>
        </w:rPr>
        <w:t xml:space="preserve"> </w:t>
      </w:r>
      <w:proofErr w:type="spellStart"/>
      <w:r>
        <w:rPr>
          <w:sz w:val="16"/>
        </w:rPr>
        <w:t>Broadcast</w:t>
      </w:r>
      <w:proofErr w:type="spellEnd"/>
      <w:r>
        <w:rPr>
          <w:sz w:val="16"/>
        </w:rPr>
        <w:t>).</w:t>
      </w:r>
    </w:p>
    <w:p w14:paraId="78ABC8AF" w14:textId="77777777" w:rsidR="003E16E8" w:rsidRDefault="008836B9">
      <w:pPr>
        <w:ind w:left="110" w:right="107"/>
        <w:jc w:val="both"/>
        <w:rPr>
          <w:sz w:val="16"/>
        </w:rPr>
      </w:pPr>
      <w:r>
        <w:rPr>
          <w:sz w:val="16"/>
        </w:rPr>
        <w:t>CAE GROUPE est une filiale de TKH Group société néerlandaise, cotée à la bourse d’Amsterdam. En s’appuyant sur les 15 usines TKH Group, CAE GROUPE dispose d’une puissance de production entièrement maîtrisée, et organisée par spécialité : fibre</w:t>
      </w:r>
      <w:r>
        <w:rPr>
          <w:sz w:val="16"/>
        </w:rPr>
        <w:t xml:space="preserve"> optique, câbles cuivre, cordons, connectique.</w:t>
      </w:r>
      <w:r>
        <w:rPr>
          <w:spacing w:val="-4"/>
          <w:sz w:val="16"/>
        </w:rPr>
        <w:t xml:space="preserve"> </w:t>
      </w:r>
      <w:r>
        <w:rPr>
          <w:sz w:val="16"/>
        </w:rPr>
        <w:t>CAE</w:t>
      </w:r>
      <w:r>
        <w:rPr>
          <w:spacing w:val="-2"/>
          <w:sz w:val="16"/>
        </w:rPr>
        <w:t xml:space="preserve"> </w:t>
      </w:r>
      <w:r>
        <w:rPr>
          <w:sz w:val="16"/>
        </w:rPr>
        <w:t>GROUPE</w:t>
      </w:r>
      <w:r>
        <w:rPr>
          <w:spacing w:val="-3"/>
          <w:sz w:val="16"/>
        </w:rPr>
        <w:t xml:space="preserve"> </w:t>
      </w:r>
      <w:r>
        <w:rPr>
          <w:sz w:val="16"/>
        </w:rPr>
        <w:t>dispose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plusieurs</w:t>
      </w:r>
      <w:r>
        <w:rPr>
          <w:spacing w:val="-3"/>
          <w:sz w:val="16"/>
        </w:rPr>
        <w:t xml:space="preserve"> </w:t>
      </w:r>
      <w:r>
        <w:rPr>
          <w:sz w:val="16"/>
        </w:rPr>
        <w:t>agences</w:t>
      </w:r>
      <w:r>
        <w:rPr>
          <w:spacing w:val="-4"/>
          <w:sz w:val="16"/>
        </w:rPr>
        <w:t xml:space="preserve"> </w:t>
      </w:r>
      <w:r>
        <w:rPr>
          <w:sz w:val="16"/>
        </w:rPr>
        <w:t>et</w:t>
      </w:r>
      <w:r>
        <w:rPr>
          <w:spacing w:val="-3"/>
          <w:sz w:val="16"/>
        </w:rPr>
        <w:t xml:space="preserve"> </w:t>
      </w:r>
      <w:r>
        <w:rPr>
          <w:sz w:val="16"/>
        </w:rPr>
        <w:t>bureaux</w:t>
      </w:r>
      <w:r>
        <w:rPr>
          <w:spacing w:val="-3"/>
          <w:sz w:val="16"/>
        </w:rPr>
        <w:t xml:space="preserve"> </w:t>
      </w:r>
      <w:r>
        <w:rPr>
          <w:sz w:val="16"/>
        </w:rPr>
        <w:t>commerciaux</w:t>
      </w:r>
      <w:r>
        <w:rPr>
          <w:spacing w:val="-4"/>
          <w:sz w:val="16"/>
        </w:rPr>
        <w:t xml:space="preserve"> </w:t>
      </w:r>
      <w:r>
        <w:rPr>
          <w:sz w:val="16"/>
        </w:rPr>
        <w:t>répartis</w:t>
      </w:r>
      <w:r>
        <w:rPr>
          <w:spacing w:val="-3"/>
          <w:sz w:val="16"/>
        </w:rPr>
        <w:t xml:space="preserve"> </w:t>
      </w:r>
      <w:r>
        <w:rPr>
          <w:sz w:val="16"/>
        </w:rPr>
        <w:t>sur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France,</w:t>
      </w:r>
      <w:r>
        <w:rPr>
          <w:spacing w:val="-2"/>
          <w:sz w:val="16"/>
        </w:rPr>
        <w:t xml:space="preserve"> </w:t>
      </w:r>
      <w:r>
        <w:rPr>
          <w:sz w:val="16"/>
        </w:rPr>
        <w:t>et</w:t>
      </w:r>
      <w:r>
        <w:rPr>
          <w:spacing w:val="-3"/>
          <w:sz w:val="16"/>
        </w:rPr>
        <w:t xml:space="preserve"> </w:t>
      </w:r>
      <w:r>
        <w:rPr>
          <w:sz w:val="16"/>
        </w:rPr>
        <w:t>développe</w:t>
      </w:r>
      <w:r>
        <w:rPr>
          <w:spacing w:val="-4"/>
          <w:sz w:val="16"/>
        </w:rPr>
        <w:t xml:space="preserve"> </w:t>
      </w:r>
      <w:r>
        <w:rPr>
          <w:sz w:val="16"/>
        </w:rPr>
        <w:t>son</w:t>
      </w:r>
      <w:r>
        <w:rPr>
          <w:spacing w:val="-2"/>
          <w:sz w:val="16"/>
        </w:rPr>
        <w:t xml:space="preserve"> </w:t>
      </w:r>
      <w:r>
        <w:rPr>
          <w:sz w:val="16"/>
        </w:rPr>
        <w:t>implantation</w:t>
      </w:r>
      <w:r>
        <w:rPr>
          <w:spacing w:val="-3"/>
          <w:sz w:val="16"/>
        </w:rPr>
        <w:t xml:space="preserve"> </w:t>
      </w:r>
      <w:r>
        <w:rPr>
          <w:sz w:val="16"/>
        </w:rPr>
        <w:t>par</w:t>
      </w:r>
      <w:r>
        <w:rPr>
          <w:spacing w:val="-3"/>
          <w:sz w:val="16"/>
        </w:rPr>
        <w:t xml:space="preserve"> </w:t>
      </w:r>
      <w:r>
        <w:rPr>
          <w:sz w:val="16"/>
        </w:rPr>
        <w:t>delà</w:t>
      </w:r>
    </w:p>
    <w:p w14:paraId="713ECB4C" w14:textId="77777777" w:rsidR="003E16E8" w:rsidRDefault="008836B9">
      <w:pPr>
        <w:spacing w:before="47"/>
        <w:ind w:left="110"/>
        <w:jc w:val="both"/>
        <w:rPr>
          <w:sz w:val="16"/>
        </w:rPr>
      </w:pPr>
      <w:proofErr w:type="gramStart"/>
      <w:r>
        <w:rPr>
          <w:sz w:val="16"/>
        </w:rPr>
        <w:t>des</w:t>
      </w:r>
      <w:proofErr w:type="gramEnd"/>
      <w:r>
        <w:rPr>
          <w:sz w:val="16"/>
        </w:rPr>
        <w:t xml:space="preserve"> frontières avec des bureaux de représentation et un large réseau de distributeu</w:t>
      </w:r>
      <w:r>
        <w:rPr>
          <w:sz w:val="16"/>
        </w:rPr>
        <w:t>rs partenaires.</w:t>
      </w:r>
    </w:p>
    <w:sectPr w:rsidR="003E16E8">
      <w:type w:val="continuous"/>
      <w:pgSz w:w="11910" w:h="16840"/>
      <w:pgMar w:top="5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-Black">
    <w:altName w:val="Roboto Black"/>
    <w:charset w:val="00"/>
    <w:family w:val="roman"/>
    <w:pitch w:val="variable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A010A85"/>
    <w:multiLevelType w:val="hybridMultilevel"/>
    <w:tmpl w:val="756AF442"/>
    <w:lvl w:ilvl="0" w:tplc="380EE246">
      <w:numFmt w:val="bullet"/>
      <w:lvlText w:val="•"/>
      <w:lvlJc w:val="left"/>
      <w:pPr>
        <w:ind w:left="470" w:hanging="360"/>
      </w:pPr>
      <w:rPr>
        <w:rFonts w:hint="default"/>
        <w:spacing w:val="-1"/>
        <w:w w:val="100"/>
        <w:lang w:val="fr-FR" w:eastAsia="fr-FR" w:bidi="fr-FR"/>
      </w:rPr>
    </w:lvl>
    <w:lvl w:ilvl="1" w:tplc="1F8C8C24">
      <w:numFmt w:val="bullet"/>
      <w:lvlText w:val="•"/>
      <w:lvlJc w:val="left"/>
      <w:pPr>
        <w:ind w:left="1474" w:hanging="360"/>
      </w:pPr>
      <w:rPr>
        <w:rFonts w:hint="default"/>
        <w:lang w:val="fr-FR" w:eastAsia="fr-FR" w:bidi="fr-FR"/>
      </w:rPr>
    </w:lvl>
    <w:lvl w:ilvl="2" w:tplc="E6085046">
      <w:numFmt w:val="bullet"/>
      <w:lvlText w:val="•"/>
      <w:lvlJc w:val="left"/>
      <w:pPr>
        <w:ind w:left="2469" w:hanging="360"/>
      </w:pPr>
      <w:rPr>
        <w:rFonts w:hint="default"/>
        <w:lang w:val="fr-FR" w:eastAsia="fr-FR" w:bidi="fr-FR"/>
      </w:rPr>
    </w:lvl>
    <w:lvl w:ilvl="3" w:tplc="168E90A0">
      <w:numFmt w:val="bullet"/>
      <w:lvlText w:val="•"/>
      <w:lvlJc w:val="left"/>
      <w:pPr>
        <w:ind w:left="3463" w:hanging="360"/>
      </w:pPr>
      <w:rPr>
        <w:rFonts w:hint="default"/>
        <w:lang w:val="fr-FR" w:eastAsia="fr-FR" w:bidi="fr-FR"/>
      </w:rPr>
    </w:lvl>
    <w:lvl w:ilvl="4" w:tplc="DF50B724">
      <w:numFmt w:val="bullet"/>
      <w:lvlText w:val="•"/>
      <w:lvlJc w:val="left"/>
      <w:pPr>
        <w:ind w:left="4458" w:hanging="360"/>
      </w:pPr>
      <w:rPr>
        <w:rFonts w:hint="default"/>
        <w:lang w:val="fr-FR" w:eastAsia="fr-FR" w:bidi="fr-FR"/>
      </w:rPr>
    </w:lvl>
    <w:lvl w:ilvl="5" w:tplc="92A41F02">
      <w:numFmt w:val="bullet"/>
      <w:lvlText w:val="•"/>
      <w:lvlJc w:val="left"/>
      <w:pPr>
        <w:ind w:left="5452" w:hanging="360"/>
      </w:pPr>
      <w:rPr>
        <w:rFonts w:hint="default"/>
        <w:lang w:val="fr-FR" w:eastAsia="fr-FR" w:bidi="fr-FR"/>
      </w:rPr>
    </w:lvl>
    <w:lvl w:ilvl="6" w:tplc="F2D8FF50">
      <w:numFmt w:val="bullet"/>
      <w:lvlText w:val="•"/>
      <w:lvlJc w:val="left"/>
      <w:pPr>
        <w:ind w:left="6447" w:hanging="360"/>
      </w:pPr>
      <w:rPr>
        <w:rFonts w:hint="default"/>
        <w:lang w:val="fr-FR" w:eastAsia="fr-FR" w:bidi="fr-FR"/>
      </w:rPr>
    </w:lvl>
    <w:lvl w:ilvl="7" w:tplc="5ED8F30E">
      <w:numFmt w:val="bullet"/>
      <w:lvlText w:val="•"/>
      <w:lvlJc w:val="left"/>
      <w:pPr>
        <w:ind w:left="7441" w:hanging="360"/>
      </w:pPr>
      <w:rPr>
        <w:rFonts w:hint="default"/>
        <w:lang w:val="fr-FR" w:eastAsia="fr-FR" w:bidi="fr-FR"/>
      </w:rPr>
    </w:lvl>
    <w:lvl w:ilvl="8" w:tplc="E7123AFC">
      <w:numFmt w:val="bullet"/>
      <w:lvlText w:val="•"/>
      <w:lvlJc w:val="left"/>
      <w:pPr>
        <w:ind w:left="8436" w:hanging="36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E16E8"/>
    <w:rsid w:val="003E16E8"/>
    <w:rsid w:val="0088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38994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Roboto" w:eastAsia="Roboto" w:hAnsi="Roboto" w:cs="Roboto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pPr>
      <w:ind w:left="110" w:right="98"/>
      <w:jc w:val="both"/>
      <w:outlineLvl w:val="1"/>
    </w:pPr>
    <w:rPr>
      <w:rFonts w:ascii="Roboto-Black" w:eastAsia="Roboto-Black" w:hAnsi="Roboto-Black" w:cs="Roboto-Black"/>
      <w:b/>
      <w:bCs/>
      <w:sz w:val="36"/>
      <w:szCs w:val="36"/>
    </w:rPr>
  </w:style>
  <w:style w:type="paragraph" w:customStyle="1" w:styleId="Heading2">
    <w:name w:val="Heading 2"/>
    <w:basedOn w:val="Normal"/>
    <w:uiPriority w:val="1"/>
    <w:qFormat/>
    <w:pPr>
      <w:spacing w:before="96"/>
      <w:ind w:left="110"/>
      <w:outlineLvl w:val="2"/>
    </w:pPr>
    <w:rPr>
      <w:rFonts w:ascii="Roboto-Black" w:eastAsia="Roboto-Black" w:hAnsi="Roboto-Black" w:cs="Roboto-Black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47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e-groupe.fr/" TargetMode="External"/><Relationship Id="rId12" Type="http://schemas.openxmlformats.org/officeDocument/2006/relationships/hyperlink" Target="mailto:a.leon@avvia.eu" TargetMode="External"/><Relationship Id="rId13" Type="http://schemas.openxmlformats.org/officeDocument/2006/relationships/hyperlink" Target="http://www.cae-groupe.fr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mailto:contact@cae-group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2476</Characters>
  <Application>Microsoft Macintosh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</cp:lastModifiedBy>
  <cp:revision>2</cp:revision>
  <dcterms:created xsi:type="dcterms:W3CDTF">2020-05-26T13:32:00Z</dcterms:created>
  <dcterms:modified xsi:type="dcterms:W3CDTF">2020-05-26T13:32:00Z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2020-05-26T00:00:00Z</vt:filetime>
  </property>
</Properties>
</file>